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40B" w:rsidRDefault="0037340B" w:rsidP="0037340B">
      <w:pPr>
        <w:pStyle w:val="1"/>
        <w:rPr>
          <w:rFonts w:ascii="KaiTi" w:eastAsia="KaiTi" w:cs="KaiTi"/>
          <w:szCs w:val="36"/>
        </w:rPr>
      </w:pPr>
      <w:r>
        <w:rPr>
          <w:rFonts w:ascii="KaiTi" w:eastAsia="KaiTi" w:cs="KaiTi" w:hint="eastAsia"/>
          <w:szCs w:val="36"/>
        </w:rPr>
        <w:t>基金管理公司审慎性调查方法及说明</w:t>
      </w:r>
      <w:r>
        <w:rPr>
          <w:rFonts w:ascii="KaiTi" w:eastAsia="KaiTi" w:cs="KaiTi"/>
          <w:szCs w:val="36"/>
        </w:rPr>
        <w:t xml:space="preserve"> </w:t>
      </w:r>
    </w:p>
    <w:p w:rsidR="0037340B" w:rsidRDefault="0037340B" w:rsidP="0037340B">
      <w:pPr>
        <w:ind w:firstLine="640"/>
      </w:pPr>
      <w:r>
        <w:rPr>
          <w:rFonts w:hint="eastAsia"/>
        </w:rPr>
        <w:t>对于基金管理人的审慎性调查评估是济安金信作为第三方评级机构，从客观角度出发，以保护投资者利益为目的，在每季度完成基金评级后必不可少的一项工作内容。目前为止公司已经形成了一套成熟、完整、精细的评估体系。下面对评估方法进行具体说明。</w:t>
      </w:r>
      <w:r>
        <w:t xml:space="preserve"> </w:t>
      </w:r>
      <w:bookmarkStart w:id="0" w:name="_GoBack"/>
      <w:bookmarkEnd w:id="0"/>
    </w:p>
    <w:p w:rsidR="0037340B" w:rsidRDefault="0037340B" w:rsidP="0037340B">
      <w:pPr>
        <w:ind w:firstLine="640"/>
      </w:pPr>
      <w:r>
        <w:rPr>
          <w:rFonts w:hint="eastAsia"/>
        </w:rPr>
        <w:t>对于基金管理人的审慎性调查评估，我们从四大方面进行考察，分别为：每一基金管理人的基本实力、基金管理人的团队稳定性、基金公司的投资管理能力以及诚信、内部控制、风险控制四方面给予分项评价，最后根据四个能力在实际操作中对于基金管理人及投资者利益的影响孰轻孰重之原则，分别赋予不同权重，最终给予综合评定结果并排名。</w:t>
      </w:r>
      <w:r>
        <w:t xml:space="preserve"> </w:t>
      </w:r>
    </w:p>
    <w:p w:rsidR="0037340B" w:rsidRDefault="0037340B" w:rsidP="0037340B">
      <w:pPr>
        <w:ind w:firstLine="640"/>
      </w:pPr>
      <w:r>
        <w:rPr>
          <w:rFonts w:hint="eastAsia"/>
        </w:rPr>
        <w:t>在基金管理人的基本实力部分中，主要考虑的子因素包括：</w:t>
      </w:r>
      <w:r>
        <w:t xml:space="preserve"> </w:t>
      </w:r>
    </w:p>
    <w:p w:rsidR="0037340B" w:rsidRDefault="0037340B" w:rsidP="0037340B">
      <w:pPr>
        <w:ind w:firstLine="640"/>
      </w:pPr>
      <w:r>
        <w:t>1</w:t>
      </w:r>
      <w:r>
        <w:rPr>
          <w:rFonts w:hint="eastAsia"/>
        </w:rPr>
        <w:t>、目前股权结构及股东背景；</w:t>
      </w:r>
      <w:r>
        <w:t xml:space="preserve"> </w:t>
      </w:r>
    </w:p>
    <w:p w:rsidR="0037340B" w:rsidRDefault="0037340B" w:rsidP="0037340B">
      <w:pPr>
        <w:ind w:firstLine="640"/>
      </w:pPr>
      <w:r>
        <w:t>2</w:t>
      </w:r>
      <w:r>
        <w:rPr>
          <w:rFonts w:hint="eastAsia"/>
        </w:rPr>
        <w:t>、公司团队情况（人数、学历背景）；</w:t>
      </w:r>
      <w:r>
        <w:t xml:space="preserve"> </w:t>
      </w:r>
    </w:p>
    <w:p w:rsidR="0037340B" w:rsidRDefault="0037340B" w:rsidP="0037340B">
      <w:pPr>
        <w:ind w:firstLine="640"/>
      </w:pPr>
      <w:r>
        <w:t>3</w:t>
      </w:r>
      <w:r>
        <w:rPr>
          <w:rFonts w:hint="eastAsia"/>
        </w:rPr>
        <w:t>、基金经理平均证券从业年限；</w:t>
      </w:r>
      <w:r>
        <w:t xml:space="preserve"> </w:t>
      </w:r>
    </w:p>
    <w:p w:rsidR="0037340B" w:rsidRDefault="0037340B" w:rsidP="0037340B">
      <w:pPr>
        <w:ind w:firstLine="640"/>
      </w:pPr>
      <w:r>
        <w:t>4</w:t>
      </w:r>
      <w:r>
        <w:rPr>
          <w:rFonts w:hint="eastAsia"/>
        </w:rPr>
        <w:t>、基金数量；</w:t>
      </w:r>
      <w:r>
        <w:t xml:space="preserve"> </w:t>
      </w:r>
    </w:p>
    <w:p w:rsidR="0037340B" w:rsidRDefault="0037340B" w:rsidP="0037340B">
      <w:pPr>
        <w:ind w:firstLine="640"/>
      </w:pPr>
      <w:r>
        <w:t>5</w:t>
      </w:r>
      <w:r>
        <w:rPr>
          <w:rFonts w:hint="eastAsia"/>
        </w:rPr>
        <w:t>、产品线完善程度；</w:t>
      </w:r>
      <w:r>
        <w:t xml:space="preserve"> </w:t>
      </w:r>
    </w:p>
    <w:p w:rsidR="0037340B" w:rsidRDefault="0037340B" w:rsidP="0037340B">
      <w:pPr>
        <w:ind w:firstLine="640"/>
      </w:pPr>
      <w:r>
        <w:t>6</w:t>
      </w:r>
      <w:r>
        <w:rPr>
          <w:rFonts w:hint="eastAsia"/>
        </w:rPr>
        <w:t>、公募基金总资产规模；</w:t>
      </w:r>
      <w:r>
        <w:t xml:space="preserve"> </w:t>
      </w:r>
    </w:p>
    <w:p w:rsidR="0037340B" w:rsidRDefault="0037340B" w:rsidP="0037340B">
      <w:pPr>
        <w:ind w:firstLine="640"/>
      </w:pPr>
      <w:r>
        <w:lastRenderedPageBreak/>
        <w:t>7</w:t>
      </w:r>
      <w:r>
        <w:rPr>
          <w:rFonts w:hint="eastAsia"/>
        </w:rPr>
        <w:t>、其他各项业务开展情况。</w:t>
      </w:r>
      <w:r>
        <w:t xml:space="preserve"> </w:t>
      </w:r>
    </w:p>
    <w:p w:rsidR="0037340B" w:rsidRDefault="0037340B" w:rsidP="0037340B">
      <w:pPr>
        <w:ind w:firstLine="640"/>
      </w:pPr>
      <w:r>
        <w:rPr>
          <w:rFonts w:hint="eastAsia"/>
        </w:rPr>
        <w:t>在基金管理人团队稳定性这一部分中，主要考虑的子因素包括：</w:t>
      </w:r>
      <w:r>
        <w:t xml:space="preserve"> </w:t>
      </w:r>
    </w:p>
    <w:p w:rsidR="0037340B" w:rsidRDefault="0037340B" w:rsidP="0037340B">
      <w:pPr>
        <w:ind w:firstLine="640"/>
      </w:pPr>
      <w:r>
        <w:t>1</w:t>
      </w:r>
      <w:r>
        <w:rPr>
          <w:rFonts w:hint="eastAsia"/>
        </w:rPr>
        <w:t>、股权稳定性；</w:t>
      </w:r>
      <w:r>
        <w:t xml:space="preserve"> </w:t>
      </w:r>
    </w:p>
    <w:p w:rsidR="0037340B" w:rsidRDefault="0037340B" w:rsidP="0037340B">
      <w:pPr>
        <w:ind w:firstLine="640"/>
      </w:pPr>
      <w:r>
        <w:t>2</w:t>
      </w:r>
      <w:r>
        <w:rPr>
          <w:rFonts w:hint="eastAsia"/>
        </w:rPr>
        <w:t>、公司高管变更；</w:t>
      </w:r>
      <w:r>
        <w:t xml:space="preserve"> </w:t>
      </w:r>
    </w:p>
    <w:p w:rsidR="0037340B" w:rsidRDefault="0037340B" w:rsidP="0037340B">
      <w:pPr>
        <w:ind w:firstLine="640"/>
      </w:pPr>
      <w:r>
        <w:t>3</w:t>
      </w:r>
      <w:r>
        <w:rPr>
          <w:rFonts w:hint="eastAsia"/>
        </w:rPr>
        <w:t>、人才储备；</w:t>
      </w:r>
      <w:r>
        <w:t xml:space="preserve"> </w:t>
      </w:r>
    </w:p>
    <w:p w:rsidR="0037340B" w:rsidRDefault="0037340B" w:rsidP="0037340B">
      <w:pPr>
        <w:ind w:firstLine="640"/>
      </w:pPr>
      <w:r>
        <w:t>4</w:t>
      </w:r>
      <w:r>
        <w:rPr>
          <w:rFonts w:hint="eastAsia"/>
        </w:rPr>
        <w:t>、基金投研团队稳定性。</w:t>
      </w:r>
      <w:r>
        <w:t xml:space="preserve"> </w:t>
      </w:r>
    </w:p>
    <w:p w:rsidR="0037340B" w:rsidRDefault="0037340B" w:rsidP="0037340B">
      <w:pPr>
        <w:ind w:firstLine="640"/>
      </w:pPr>
      <w:r>
        <w:rPr>
          <w:rFonts w:hint="eastAsia"/>
        </w:rPr>
        <w:t>在基金管理人投资管理能力这一部分中，主要考虑的子因素包括：</w:t>
      </w:r>
      <w:r>
        <w:t xml:space="preserve"> </w:t>
      </w:r>
    </w:p>
    <w:p w:rsidR="0037340B" w:rsidRDefault="0037340B" w:rsidP="0037340B">
      <w:pPr>
        <w:ind w:firstLine="640"/>
      </w:pPr>
      <w:r>
        <w:t>1</w:t>
      </w:r>
      <w:r>
        <w:rPr>
          <w:rFonts w:hint="eastAsia"/>
        </w:rPr>
        <w:t>、旗下固定收益类基金的投资管理能力；</w:t>
      </w:r>
      <w:r>
        <w:t xml:space="preserve"> </w:t>
      </w:r>
    </w:p>
    <w:p w:rsidR="0037340B" w:rsidRDefault="0037340B" w:rsidP="0037340B">
      <w:pPr>
        <w:ind w:firstLine="640"/>
      </w:pPr>
      <w:r>
        <w:t>2</w:t>
      </w:r>
      <w:r>
        <w:rPr>
          <w:rFonts w:hint="eastAsia"/>
        </w:rPr>
        <w:t>、旗下权益类基金的投资管理能力。</w:t>
      </w:r>
      <w:r>
        <w:t xml:space="preserve"> </w:t>
      </w:r>
    </w:p>
    <w:p w:rsidR="0037340B" w:rsidRDefault="0037340B" w:rsidP="0037340B">
      <w:pPr>
        <w:ind w:firstLine="640"/>
      </w:pPr>
      <w:r>
        <w:rPr>
          <w:rFonts w:hint="eastAsia"/>
        </w:rPr>
        <w:t>在基金管理人诚信、内部控制、风险控制能力这一部分中，主要考虑的子因素包括：</w:t>
      </w:r>
      <w:r>
        <w:t xml:space="preserve"> </w:t>
      </w:r>
    </w:p>
    <w:p w:rsidR="0037340B" w:rsidRDefault="0037340B" w:rsidP="0037340B">
      <w:pPr>
        <w:ind w:firstLine="640"/>
      </w:pPr>
      <w:r>
        <w:t>1</w:t>
      </w:r>
      <w:r>
        <w:rPr>
          <w:rFonts w:hint="eastAsia"/>
        </w:rPr>
        <w:t>、制度建设；</w:t>
      </w:r>
      <w:r>
        <w:t xml:space="preserve"> </w:t>
      </w:r>
    </w:p>
    <w:p w:rsidR="0037340B" w:rsidRDefault="0037340B" w:rsidP="0037340B">
      <w:pPr>
        <w:ind w:firstLine="640"/>
      </w:pPr>
      <w:r>
        <w:t>2</w:t>
      </w:r>
      <w:r>
        <w:rPr>
          <w:rFonts w:hint="eastAsia"/>
        </w:rPr>
        <w:t>、违规情况；</w:t>
      </w:r>
      <w:r>
        <w:t xml:space="preserve"> </w:t>
      </w:r>
    </w:p>
    <w:p w:rsidR="007E12C3" w:rsidRDefault="0037340B" w:rsidP="0037340B">
      <w:pPr>
        <w:ind w:firstLine="640"/>
      </w:pPr>
      <w:r>
        <w:t>3</w:t>
      </w:r>
      <w:r>
        <w:rPr>
          <w:rFonts w:hint="eastAsia"/>
        </w:rPr>
        <w:t>、风险事件处理。</w:t>
      </w:r>
    </w:p>
    <w:sectPr w:rsidR="007E12C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58D6" w:rsidRDefault="00D458D6" w:rsidP="0037340B">
      <w:pPr>
        <w:ind w:firstLine="640"/>
      </w:pPr>
      <w:r>
        <w:separator/>
      </w:r>
    </w:p>
  </w:endnote>
  <w:endnote w:type="continuationSeparator" w:id="0">
    <w:p w:rsidR="00D458D6" w:rsidRDefault="00D458D6" w:rsidP="0037340B">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ì."/>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 w:name="黑体">
    <w:altName w:val="oúì."/>
    <w:panose1 w:val="02010609060101010101"/>
    <w:charset w:val="86"/>
    <w:family w:val="modern"/>
    <w:pitch w:val="fixed"/>
    <w:sig w:usb0="800002BF" w:usb1="38CF7CFA" w:usb2="00000016" w:usb3="00000000" w:csb0="00040001" w:csb1="00000000"/>
  </w:font>
  <w:font w:name="KaiTi">
    <w:altName w:val="Arial Unicode MS"/>
    <w:panose1 w:val="00000000000000000000"/>
    <w:charset w:val="86"/>
    <w:family w:val="swiss"/>
    <w:notTrueType/>
    <w:pitch w:val="default"/>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58D6" w:rsidRDefault="00D458D6" w:rsidP="0037340B">
      <w:pPr>
        <w:ind w:firstLine="640"/>
      </w:pPr>
      <w:r>
        <w:separator/>
      </w:r>
    </w:p>
  </w:footnote>
  <w:footnote w:type="continuationSeparator" w:id="0">
    <w:p w:rsidR="00D458D6" w:rsidRDefault="00D458D6" w:rsidP="0037340B">
      <w:pPr>
        <w:ind w:firstLine="64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8515ED"/>
    <w:multiLevelType w:val="hybridMultilevel"/>
    <w:tmpl w:val="A6D83630"/>
    <w:lvl w:ilvl="0" w:tplc="D7E038B4">
      <w:start w:val="1"/>
      <w:numFmt w:val="chineseCountingThousand"/>
      <w:lvlText w:val="第%1条"/>
      <w:lvlJc w:val="left"/>
      <w:pPr>
        <w:ind w:left="1060" w:hanging="420"/>
      </w:pPr>
      <w:rPr>
        <w:rFonts w:hint="eastAsia"/>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86D"/>
    <w:rsid w:val="0037340B"/>
    <w:rsid w:val="007E12C3"/>
    <w:rsid w:val="00BB386D"/>
    <w:rsid w:val="00D458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5A95E92-C3A1-46D5-8A86-8FAAD98D9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340B"/>
    <w:pPr>
      <w:widowControl w:val="0"/>
      <w:ind w:firstLineChars="200" w:firstLine="200"/>
      <w:jc w:val="both"/>
    </w:pPr>
    <w:rPr>
      <w:rFonts w:eastAsia="仿宋"/>
      <w:kern w:val="2"/>
      <w:sz w:val="32"/>
    </w:rPr>
  </w:style>
  <w:style w:type="paragraph" w:styleId="1">
    <w:name w:val="heading 1"/>
    <w:next w:val="a"/>
    <w:link w:val="1Char"/>
    <w:uiPriority w:val="9"/>
    <w:qFormat/>
    <w:rsid w:val="0037340B"/>
    <w:pPr>
      <w:keepNext/>
      <w:keepLines/>
      <w:spacing w:before="340" w:after="330" w:line="578" w:lineRule="auto"/>
      <w:jc w:val="center"/>
      <w:outlineLvl w:val="0"/>
    </w:pPr>
    <w:rPr>
      <w:rFonts w:eastAsia="华文中宋"/>
      <w:b/>
      <w:bCs/>
      <w:kern w:val="44"/>
      <w:sz w:val="36"/>
      <w:szCs w:val="44"/>
    </w:rPr>
  </w:style>
  <w:style w:type="paragraph" w:styleId="2">
    <w:name w:val="heading 2"/>
    <w:basedOn w:val="a"/>
    <w:next w:val="a"/>
    <w:link w:val="2Char"/>
    <w:uiPriority w:val="9"/>
    <w:semiHidden/>
    <w:unhideWhenUsed/>
    <w:qFormat/>
    <w:rsid w:val="0037340B"/>
    <w:pPr>
      <w:keepNext/>
      <w:keepLines/>
      <w:spacing w:before="260" w:after="260" w:line="415" w:lineRule="auto"/>
      <w:ind w:firstLineChars="0" w:firstLine="0"/>
      <w:jc w:val="center"/>
      <w:outlineLvl w:val="1"/>
    </w:pPr>
    <w:rPr>
      <w:rFonts w:ascii="Calibri Light" w:eastAsia="黑体" w:hAnsi="Calibri Light"/>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7340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7340B"/>
    <w:rPr>
      <w:sz w:val="18"/>
      <w:szCs w:val="18"/>
    </w:rPr>
  </w:style>
  <w:style w:type="paragraph" w:styleId="a4">
    <w:name w:val="footer"/>
    <w:basedOn w:val="a"/>
    <w:link w:val="Char0"/>
    <w:uiPriority w:val="99"/>
    <w:unhideWhenUsed/>
    <w:rsid w:val="0037340B"/>
    <w:pPr>
      <w:tabs>
        <w:tab w:val="center" w:pos="4153"/>
        <w:tab w:val="right" w:pos="8306"/>
      </w:tabs>
      <w:snapToGrid w:val="0"/>
      <w:jc w:val="left"/>
    </w:pPr>
    <w:rPr>
      <w:sz w:val="18"/>
      <w:szCs w:val="18"/>
    </w:rPr>
  </w:style>
  <w:style w:type="character" w:customStyle="1" w:styleId="Char0">
    <w:name w:val="页脚 Char"/>
    <w:basedOn w:val="a0"/>
    <w:link w:val="a4"/>
    <w:uiPriority w:val="99"/>
    <w:rsid w:val="0037340B"/>
    <w:rPr>
      <w:sz w:val="18"/>
      <w:szCs w:val="18"/>
    </w:rPr>
  </w:style>
  <w:style w:type="paragraph" w:customStyle="1" w:styleId="Default">
    <w:name w:val="Default"/>
    <w:rsid w:val="0037340B"/>
    <w:pPr>
      <w:widowControl w:val="0"/>
      <w:autoSpaceDE w:val="0"/>
      <w:autoSpaceDN w:val="0"/>
      <w:adjustRightInd w:val="0"/>
    </w:pPr>
    <w:rPr>
      <w:rFonts w:ascii="黑体" w:eastAsia="黑体" w:cs="黑体"/>
      <w:color w:val="000000"/>
      <w:sz w:val="24"/>
      <w:szCs w:val="24"/>
    </w:rPr>
  </w:style>
  <w:style w:type="paragraph" w:customStyle="1" w:styleId="a5">
    <w:name w:val="条款"/>
    <w:basedOn w:val="a"/>
    <w:link w:val="Char1"/>
    <w:qFormat/>
    <w:rsid w:val="0037340B"/>
    <w:pPr>
      <w:numPr>
        <w:numId w:val="4"/>
      </w:numPr>
      <w:tabs>
        <w:tab w:val="clear" w:pos="360"/>
      </w:tabs>
    </w:pPr>
  </w:style>
  <w:style w:type="character" w:customStyle="1" w:styleId="Char1">
    <w:name w:val="条款 Char"/>
    <w:link w:val="a5"/>
    <w:rsid w:val="0037340B"/>
    <w:rPr>
      <w:rFonts w:eastAsia="仿宋"/>
      <w:kern w:val="2"/>
      <w:sz w:val="32"/>
    </w:rPr>
  </w:style>
  <w:style w:type="character" w:customStyle="1" w:styleId="1Char">
    <w:name w:val="标题 1 Char"/>
    <w:link w:val="1"/>
    <w:uiPriority w:val="9"/>
    <w:rsid w:val="0037340B"/>
    <w:rPr>
      <w:rFonts w:eastAsia="华文中宋"/>
      <w:b/>
      <w:bCs/>
      <w:kern w:val="44"/>
      <w:sz w:val="36"/>
      <w:szCs w:val="44"/>
    </w:rPr>
  </w:style>
  <w:style w:type="character" w:customStyle="1" w:styleId="2Char">
    <w:name w:val="标题 2 Char"/>
    <w:link w:val="2"/>
    <w:uiPriority w:val="9"/>
    <w:semiHidden/>
    <w:rsid w:val="0037340B"/>
    <w:rPr>
      <w:rFonts w:ascii="Calibri Light" w:eastAsia="黑体" w:hAnsi="Calibri Light"/>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94</Words>
  <Characters>538</Characters>
  <Application>Microsoft Office Word</Application>
  <DocSecurity>0</DocSecurity>
  <Lines>4</Lines>
  <Paragraphs>1</Paragraphs>
  <ScaleCrop>false</ScaleCrop>
  <Company/>
  <LinksUpToDate>false</LinksUpToDate>
  <CharactersWithSpaces>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闫石</dc:creator>
  <cp:keywords/>
  <dc:description/>
  <cp:lastModifiedBy>闫石</cp:lastModifiedBy>
  <cp:revision>2</cp:revision>
  <dcterms:created xsi:type="dcterms:W3CDTF">2017-12-12T09:24:00Z</dcterms:created>
  <dcterms:modified xsi:type="dcterms:W3CDTF">2017-12-12T09:33:00Z</dcterms:modified>
</cp:coreProperties>
</file>