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Default ContentType="image/x-wmf" Extension="w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0" w:line="479" w:lineRule="exact"/>
        <w:ind w:left="720" w:right="0" w:firstLine="977"/>
        <w:jc w:val="left"/>
        <w:rPr>
          <w:rFonts w:ascii="Microsoft JhengHei" w:hAnsi="Microsoft JhengHei" w:eastAsia="Microsoft JhengHei" w:cs="Microsoft JhengHei"/>
          <w:sz w:val="36"/>
          <w:szCs w:val="36"/>
        </w:rPr>
      </w:pPr>
      <w:r>
        <w:rPr>
          <w:rFonts w:ascii="Microsoft JhengHei" w:hAnsi="Microsoft JhengHei" w:eastAsia="Microsoft JhengHei" w:cs="Microsoft JhengHei"/>
          <w:b/>
          <w:bCs/>
          <w:sz w:val="36"/>
          <w:szCs w:val="36"/>
        </w:rPr>
        <w:t>长安银行信用卡账单分期业务细则</w:t>
      </w:r>
    </w:p>
    <w:p>
      <w:pPr>
        <w:spacing w:before="8" w:line="240" w:lineRule="auto"/>
        <w:rPr>
          <w:rFonts w:ascii="Microsoft JhengHei" w:hAnsi="Microsoft JhengHei" w:eastAsia="Microsoft JhengHei" w:cs="Microsoft JhengHei"/>
          <w:b/>
          <w:bCs/>
          <w:sz w:val="34"/>
          <w:szCs w:val="34"/>
        </w:rPr>
      </w:pPr>
    </w:p>
    <w:p>
      <w:pPr>
        <w:pStyle w:val="2"/>
        <w:spacing w:before="0" w:line="297" w:lineRule="auto"/>
        <w:ind w:left="119" w:right="357"/>
        <w:jc w:val="both"/>
      </w:pPr>
      <w:r>
        <w:rPr>
          <w:spacing w:val="2"/>
        </w:rPr>
        <w:t>如长安银行信用卡持卡人（以下简称</w:t>
      </w:r>
      <w:r>
        <w:rPr>
          <w:rFonts w:ascii="仿宋" w:hAnsi="仿宋" w:eastAsia="仿宋" w:cs="仿宋"/>
          <w:spacing w:val="2"/>
        </w:rPr>
        <w:t>“</w:t>
      </w:r>
      <w:r>
        <w:rPr>
          <w:spacing w:val="2"/>
        </w:rPr>
        <w:t>持卡人</w:t>
      </w:r>
      <w:r>
        <w:rPr>
          <w:rFonts w:ascii="仿宋" w:hAnsi="仿宋" w:eastAsia="仿宋" w:cs="仿宋"/>
          <w:spacing w:val="-148"/>
        </w:rPr>
        <w:t>”</w:t>
      </w:r>
      <w:r>
        <w:rPr>
          <w:spacing w:val="2"/>
        </w:rPr>
        <w:t>）申请长</w:t>
      </w:r>
      <w:r>
        <w:t>安</w:t>
      </w:r>
      <w:r>
        <w:rPr>
          <w:spacing w:val="2"/>
        </w:rPr>
        <w:t>银行（</w:t>
      </w:r>
      <w:r>
        <w:rPr>
          <w:spacing w:val="1"/>
        </w:rPr>
        <w:t>以</w:t>
      </w:r>
      <w:r>
        <w:rPr>
          <w:spacing w:val="2"/>
        </w:rPr>
        <w:t>下简称</w:t>
      </w:r>
      <w:r>
        <w:rPr>
          <w:rFonts w:ascii="仿宋" w:hAnsi="仿宋" w:eastAsia="仿宋" w:cs="仿宋"/>
          <w:spacing w:val="2"/>
        </w:rPr>
        <w:t>“</w:t>
      </w:r>
      <w:r>
        <w:rPr>
          <w:spacing w:val="2"/>
        </w:rPr>
        <w:t>本行</w:t>
      </w:r>
      <w:r>
        <w:rPr>
          <w:rFonts w:ascii="仿宋" w:hAnsi="仿宋" w:eastAsia="仿宋" w:cs="仿宋"/>
          <w:spacing w:val="-148"/>
        </w:rPr>
        <w:t>”</w:t>
      </w:r>
      <w:r>
        <w:rPr>
          <w:spacing w:val="2"/>
        </w:rPr>
        <w:t>）信用</w:t>
      </w:r>
      <w:r>
        <w:rPr>
          <w:spacing w:val="1"/>
        </w:rPr>
        <w:t>卡</w:t>
      </w:r>
      <w:r>
        <w:rPr>
          <w:spacing w:val="2"/>
        </w:rPr>
        <w:t>账单分期业务，</w:t>
      </w:r>
      <w:r>
        <w:rPr>
          <w:spacing w:val="1"/>
        </w:rPr>
        <w:t>即</w:t>
      </w:r>
      <w:r>
        <w:rPr>
          <w:spacing w:val="2"/>
        </w:rPr>
        <w:t>表示其已</w:t>
      </w:r>
      <w:r>
        <w:t>阅读</w:t>
      </w:r>
      <w:r>
        <w:rPr>
          <w:rFonts w:hint="eastAsia"/>
          <w:lang w:eastAsia="zh-CN"/>
        </w:rPr>
        <w:t>、</w:t>
      </w:r>
      <w:r>
        <w:rPr>
          <w:rFonts w:hint="eastAsia"/>
          <w:lang w:val="en-US" w:eastAsia="zh-CN"/>
        </w:rPr>
        <w:t>知晓、清楚本细则</w:t>
      </w:r>
      <w:r>
        <w:t>并同意遵守本业务细则。</w:t>
      </w:r>
    </w:p>
    <w:p>
      <w:pPr>
        <w:pStyle w:val="4"/>
        <w:spacing w:line="449" w:lineRule="exact"/>
        <w:ind w:right="0"/>
        <w:jc w:val="left"/>
        <w:rPr>
          <w:b w:val="0"/>
          <w:bCs w:val="0"/>
        </w:rPr>
      </w:pPr>
      <w:r>
        <w:t xml:space="preserve">第一条 </w:t>
      </w:r>
      <w:r>
        <w:rPr>
          <w:spacing w:val="1"/>
        </w:rPr>
        <w:t xml:space="preserve"> </w:t>
      </w:r>
      <w:r>
        <w:t>声明事项</w:t>
      </w:r>
    </w:p>
    <w:p>
      <w:pPr>
        <w:pStyle w:val="2"/>
        <w:spacing w:before="59" w:line="297" w:lineRule="auto"/>
        <w:ind w:right="265"/>
        <w:jc w:val="both"/>
      </w:pPr>
      <w:r>
        <w:rPr>
          <w:rFonts w:ascii="仿宋" w:hAnsi="仿宋" w:eastAsia="仿宋" w:cs="仿宋"/>
        </w:rPr>
        <w:t xml:space="preserve">1. </w:t>
      </w:r>
      <w:r>
        <w:t>长安银行信用卡账单分期业务（以下简称“账单分期</w:t>
      </w:r>
      <w:r>
        <w:rPr>
          <w:rFonts w:ascii="仿宋" w:hAnsi="仿宋" w:eastAsia="仿宋" w:cs="仿宋"/>
          <w:spacing w:val="-150"/>
        </w:rPr>
        <w:t>”</w:t>
      </w:r>
      <w:r>
        <w:t>）是指本行根据持卡人的申请</w:t>
      </w:r>
      <w:r>
        <w:rPr>
          <w:spacing w:val="-94"/>
        </w:rPr>
        <w:t>，</w:t>
      </w:r>
      <w:r>
        <w:t>对其已出账单一定消费金额提供分期偿还服务的业务。</w:t>
      </w:r>
    </w:p>
    <w:p>
      <w:pPr>
        <w:pStyle w:val="2"/>
        <w:spacing w:line="297" w:lineRule="auto"/>
        <w:ind w:right="358"/>
        <w:jc w:val="both"/>
      </w:pPr>
      <w:r>
        <w:rPr>
          <w:rFonts w:ascii="仿宋" w:hAnsi="仿宋" w:eastAsia="仿宋" w:cs="仿宋"/>
        </w:rPr>
        <w:t>2.</w:t>
      </w:r>
      <w:r>
        <w:rPr>
          <w:rFonts w:ascii="仿宋" w:hAnsi="仿宋" w:eastAsia="仿宋" w:cs="仿宋"/>
          <w:spacing w:val="2"/>
        </w:rPr>
        <w:t xml:space="preserve"> </w:t>
      </w:r>
      <w:r>
        <w:rPr>
          <w:spacing w:val="1"/>
        </w:rPr>
        <w:t>持卡人通过本行柜面、个人网上银行、手机银行、微信银行、本行短信渠道、本行信用卡客服热线（</w:t>
      </w:r>
      <w:r>
        <w:rPr>
          <w:rFonts w:ascii="仿宋" w:hAnsi="仿宋" w:eastAsia="仿宋" w:cs="仿宋"/>
          <w:spacing w:val="1"/>
        </w:rPr>
        <w:t>40005-96669</w:t>
      </w:r>
      <w:r>
        <w:rPr>
          <w:spacing w:val="1"/>
        </w:rPr>
        <w:t>）申</w:t>
      </w:r>
      <w:r>
        <w:t>请</w:t>
      </w:r>
      <w:r>
        <w:rPr>
          <w:rFonts w:hint="eastAsia"/>
          <w:lang w:val="en-US" w:eastAsia="zh-CN"/>
        </w:rPr>
        <w:t>本行</w:t>
      </w:r>
      <w:r>
        <w:t>账单分期业务，则视同于持卡人</w:t>
      </w:r>
      <w:r>
        <w:rPr>
          <w:rFonts w:hint="eastAsia"/>
          <w:lang w:val="en-US" w:eastAsia="zh-CN"/>
        </w:rPr>
        <w:t>自愿</w:t>
      </w:r>
      <w:r>
        <w:t>接受</w:t>
      </w:r>
      <w:r>
        <w:rPr>
          <w:rFonts w:hint="eastAsia"/>
          <w:lang w:val="en-US" w:eastAsia="zh-CN"/>
        </w:rPr>
        <w:t>并认可本</w:t>
      </w:r>
      <w:r>
        <w:t>业务的所有条款。</w:t>
      </w:r>
    </w:p>
    <w:p>
      <w:pPr>
        <w:pStyle w:val="4"/>
        <w:spacing w:line="449" w:lineRule="exact"/>
        <w:ind w:right="0"/>
        <w:jc w:val="left"/>
        <w:rPr>
          <w:b w:val="0"/>
          <w:bCs w:val="0"/>
        </w:rPr>
      </w:pPr>
      <w:r>
        <w:t xml:space="preserve">第二条 </w:t>
      </w:r>
      <w:r>
        <w:rPr>
          <w:spacing w:val="1"/>
        </w:rPr>
        <w:t xml:space="preserve"> </w:t>
      </w:r>
      <w:r>
        <w:t>申请</w:t>
      </w:r>
    </w:p>
    <w:p>
      <w:pPr>
        <w:pStyle w:val="2"/>
        <w:spacing w:before="59" w:line="297" w:lineRule="auto"/>
        <w:ind w:right="115"/>
        <w:jc w:val="left"/>
      </w:pPr>
      <w:r>
        <w:rPr>
          <w:rFonts w:ascii="仿宋" w:hAnsi="仿宋" w:eastAsia="仿宋" w:cs="仿宋"/>
        </w:rPr>
        <w:t>1.</w:t>
      </w:r>
      <w:r>
        <w:t>持卡人须在当期账单日的次日至到期还款日前两日之间，申请账单分期业务。</w:t>
      </w:r>
    </w:p>
    <w:p>
      <w:pPr>
        <w:pStyle w:val="2"/>
        <w:spacing w:line="297" w:lineRule="auto"/>
        <w:ind w:right="358"/>
        <w:jc w:val="both"/>
      </w:pPr>
      <w:r>
        <w:rPr>
          <w:rFonts w:ascii="仿宋" w:hAnsi="仿宋" w:eastAsia="仿宋" w:cs="仿宋"/>
        </w:rPr>
        <w:t>2.</w:t>
      </w:r>
      <w:r>
        <w:rPr>
          <w:spacing w:val="1"/>
        </w:rPr>
        <w:t>持卡人账户状态正常，且近</w:t>
      </w:r>
      <w:r>
        <w:rPr>
          <w:rFonts w:ascii="仿宋" w:hAnsi="仿宋" w:eastAsia="仿宋" w:cs="仿宋"/>
          <w:spacing w:val="1"/>
        </w:rPr>
        <w:t>12</w:t>
      </w:r>
      <w:r>
        <w:rPr>
          <w:spacing w:val="1"/>
        </w:rPr>
        <w:t>个月内账户累计逾期不超</w:t>
      </w:r>
      <w:r>
        <w:t>过</w:t>
      </w:r>
      <w:r>
        <w:rPr>
          <w:rFonts w:ascii="仿宋" w:hAnsi="仿宋" w:eastAsia="仿宋" w:cs="仿宋"/>
        </w:rPr>
        <w:t>3</w:t>
      </w:r>
      <w:r>
        <w:t>次，连续逾期不超过</w:t>
      </w:r>
      <w:r>
        <w:rPr>
          <w:rFonts w:ascii="仿宋" w:hAnsi="仿宋" w:eastAsia="仿宋" w:cs="仿宋"/>
        </w:rPr>
        <w:t>2</w:t>
      </w:r>
      <w:r>
        <w:t>期，方可申请账单分期业务。</w:t>
      </w:r>
    </w:p>
    <w:p>
      <w:pPr>
        <w:pStyle w:val="2"/>
        <w:spacing w:line="297" w:lineRule="auto"/>
        <w:ind w:right="359"/>
        <w:jc w:val="both"/>
      </w:pPr>
      <w:r>
        <w:rPr>
          <w:rFonts w:ascii="仿宋" w:hAnsi="仿宋" w:eastAsia="仿宋" w:cs="仿宋"/>
        </w:rPr>
        <w:t>3.</w:t>
      </w:r>
      <w:r>
        <w:t>人民币账户单笔账单分期交易最低金额为</w:t>
      </w:r>
      <w:r>
        <w:rPr>
          <w:rFonts w:ascii="仿宋" w:hAnsi="仿宋" w:eastAsia="仿宋" w:cs="仿宋"/>
        </w:rPr>
        <w:t>500</w:t>
      </w:r>
      <w:r>
        <w:rPr>
          <w:spacing w:val="-94"/>
        </w:rPr>
        <w:t>元</w:t>
      </w:r>
      <w:r>
        <w:t>（不包括</w:t>
      </w:r>
      <w:r>
        <w:rPr>
          <w:spacing w:val="2"/>
        </w:rPr>
        <w:t>当期账</w:t>
      </w:r>
      <w:r>
        <w:rPr>
          <w:spacing w:val="1"/>
        </w:rPr>
        <w:t>单</w:t>
      </w:r>
      <w:r>
        <w:rPr>
          <w:spacing w:val="2"/>
        </w:rPr>
        <w:t>中已申请消费分</w:t>
      </w:r>
      <w:r>
        <w:rPr>
          <w:spacing w:val="1"/>
        </w:rPr>
        <w:t>期</w:t>
      </w:r>
      <w:r>
        <w:rPr>
          <w:spacing w:val="2"/>
        </w:rPr>
        <w:t>的金额和争议</w:t>
      </w:r>
      <w:r>
        <w:rPr>
          <w:spacing w:val="1"/>
        </w:rPr>
        <w:t>金</w:t>
      </w:r>
      <w:r>
        <w:rPr>
          <w:spacing w:val="2"/>
        </w:rPr>
        <w:t>额</w:t>
      </w:r>
      <w:r>
        <w:rPr>
          <w:spacing w:val="-148"/>
        </w:rPr>
        <w:t>）</w:t>
      </w:r>
      <w:r>
        <w:rPr>
          <w:spacing w:val="2"/>
        </w:rPr>
        <w:t>，最高</w:t>
      </w:r>
      <w:r>
        <w:rPr>
          <w:spacing w:val="1"/>
        </w:rPr>
        <w:t>金</w:t>
      </w:r>
      <w:r>
        <w:rPr>
          <w:spacing w:val="2"/>
        </w:rPr>
        <w:t>额不</w:t>
      </w:r>
      <w:r>
        <w:t>超</w:t>
      </w:r>
      <w:r>
        <w:rPr>
          <w:spacing w:val="1"/>
        </w:rPr>
        <w:t>过其已出账单的消费交易金额未还部分的</w:t>
      </w:r>
      <w:r>
        <w:rPr>
          <w:rFonts w:ascii="仿宋" w:hAnsi="仿宋" w:eastAsia="仿宋" w:cs="仿宋"/>
          <w:spacing w:val="1"/>
        </w:rPr>
        <w:t>90%</w:t>
      </w:r>
      <w:r>
        <w:rPr>
          <w:spacing w:val="1"/>
        </w:rPr>
        <w:t>，且不超过账户固</w:t>
      </w:r>
      <w:r>
        <w:t>定额度。</w:t>
      </w:r>
    </w:p>
    <w:p>
      <w:pPr>
        <w:pStyle w:val="2"/>
        <w:spacing w:line="297" w:lineRule="auto"/>
        <w:ind w:right="359"/>
        <w:jc w:val="both"/>
      </w:pPr>
      <w:r>
        <w:rPr>
          <w:rFonts w:ascii="仿宋" w:hAnsi="仿宋" w:eastAsia="仿宋" w:cs="仿宋"/>
        </w:rPr>
        <w:t>4.</w:t>
      </w:r>
      <w:r>
        <w:rPr>
          <w:rFonts w:ascii="仿宋" w:hAnsi="仿宋" w:eastAsia="仿宋" w:cs="仿宋"/>
          <w:spacing w:val="2"/>
        </w:rPr>
        <w:t xml:space="preserve"> </w:t>
      </w:r>
      <w:r>
        <w:rPr>
          <w:spacing w:val="1"/>
        </w:rPr>
        <w:t>不能申请账单分期的交易有：预借现金交易、分期付款</w:t>
      </w:r>
      <w:r>
        <w:rPr>
          <w:spacing w:val="2"/>
        </w:rPr>
        <w:t>交易及</w:t>
      </w:r>
      <w:r>
        <w:rPr>
          <w:spacing w:val="1"/>
        </w:rPr>
        <w:t>各</w:t>
      </w:r>
      <w:r>
        <w:rPr>
          <w:spacing w:val="2"/>
        </w:rPr>
        <w:t>项费用（如年费</w:t>
      </w:r>
      <w:r>
        <w:rPr>
          <w:spacing w:val="1"/>
        </w:rPr>
        <w:t>、</w:t>
      </w:r>
      <w:r>
        <w:rPr>
          <w:spacing w:val="2"/>
        </w:rPr>
        <w:t>利息、滞纳金</w:t>
      </w:r>
      <w:r>
        <w:rPr>
          <w:spacing w:val="1"/>
        </w:rPr>
        <w:t>及</w:t>
      </w:r>
      <w:r>
        <w:rPr>
          <w:spacing w:val="2"/>
        </w:rPr>
        <w:t>其他信用卡收</w:t>
      </w:r>
      <w:r>
        <w:rPr>
          <w:spacing w:val="1"/>
        </w:rPr>
        <w:t>费</w:t>
      </w:r>
      <w:r>
        <w:rPr>
          <w:spacing w:val="-148"/>
        </w:rPr>
        <w:t>）</w:t>
      </w:r>
      <w:r>
        <w:t>；已计入最低还款额的金</w:t>
      </w:r>
      <w:r>
        <w:rPr>
          <w:spacing w:val="-47"/>
        </w:rPr>
        <w:t>额；</w:t>
      </w:r>
      <w:r>
        <w:t>未出账单的消费交易以及本行规定的其他交易。</w:t>
      </w:r>
    </w:p>
    <w:p>
      <w:pPr>
        <w:pStyle w:val="2"/>
        <w:spacing w:line="297" w:lineRule="auto"/>
        <w:ind w:left="119" w:right="359"/>
        <w:jc w:val="both"/>
      </w:pPr>
      <w:r>
        <w:rPr>
          <w:rFonts w:ascii="仿宋" w:hAnsi="仿宋" w:eastAsia="仿宋" w:cs="仿宋"/>
        </w:rPr>
        <w:t>5.</w:t>
      </w:r>
      <w:r>
        <w:rPr>
          <w:rFonts w:ascii="仿宋" w:hAnsi="仿宋" w:eastAsia="仿宋" w:cs="仿宋"/>
          <w:spacing w:val="2"/>
        </w:rPr>
        <w:t xml:space="preserve"> </w:t>
      </w:r>
      <w:r>
        <w:rPr>
          <w:spacing w:val="1"/>
        </w:rPr>
        <w:t>当日撤销的账单分期业务可再次申请；持卡人申请账单</w:t>
      </w:r>
      <w:r>
        <w:t>分期一经审核通过，不能撤销，不能对分期期数进行更</w:t>
      </w:r>
      <w:r>
        <w:rPr>
          <w:spacing w:val="-47"/>
        </w:rPr>
        <w:t>改；</w:t>
      </w:r>
      <w:r>
        <w:t>账单分期不支持展期。</w:t>
      </w:r>
    </w:p>
    <w:p>
      <w:pPr>
        <w:spacing w:after="0" w:line="297" w:lineRule="auto"/>
        <w:jc w:val="both"/>
        <w:sectPr>
          <w:footerReference r:id="rId4" w:type="default"/>
          <w:type w:val="continuous"/>
          <w:pgSz w:w="11910" w:h="16840"/>
          <w:pgMar w:top="1400" w:right="1440" w:bottom="1160" w:left="1680" w:header="720" w:footer="976" w:gutter="0"/>
          <w:pgNumType w:start="1"/>
          <w:cols w:space="720" w:num="1"/>
        </w:sectPr>
      </w:pPr>
    </w:p>
    <w:p>
      <w:pPr>
        <w:pStyle w:val="2"/>
        <w:spacing w:before="0" w:line="297" w:lineRule="auto"/>
        <w:ind w:right="199"/>
        <w:jc w:val="both"/>
      </w:pPr>
      <w:r>
        <w:rPr>
          <w:rFonts w:ascii="仿宋" w:hAnsi="仿宋" w:eastAsia="仿宋" w:cs="仿宋"/>
        </w:rPr>
        <w:t>6.</w:t>
      </w:r>
      <w:r>
        <w:t>同一账单期</w:t>
      </w:r>
      <w:r>
        <w:rPr>
          <w:spacing w:val="-47"/>
        </w:rPr>
        <w:t>，</w:t>
      </w:r>
      <w:r>
        <w:t>只允许申请一次账单分期</w:t>
      </w:r>
      <w:r>
        <w:rPr>
          <w:spacing w:val="-47"/>
        </w:rPr>
        <w:t>，</w:t>
      </w:r>
      <w:r>
        <w:t>再次申请账单分期，须待到下期账单后才能申请。</w:t>
      </w:r>
    </w:p>
    <w:p>
      <w:pPr>
        <w:pStyle w:val="2"/>
        <w:spacing w:line="392" w:lineRule="exact"/>
        <w:ind w:left="720" w:right="0" w:firstLine="0"/>
        <w:jc w:val="left"/>
      </w:pPr>
      <w:r>
        <w:rPr>
          <w:rFonts w:ascii="仿宋" w:hAnsi="仿宋" w:eastAsia="仿宋" w:cs="仿宋"/>
        </w:rPr>
        <w:t xml:space="preserve">7. </w:t>
      </w:r>
      <w:r>
        <w:t>账单分期的申请是否通过，以本行审核结果为准。</w:t>
      </w:r>
    </w:p>
    <w:p>
      <w:pPr>
        <w:pStyle w:val="4"/>
        <w:spacing w:line="521" w:lineRule="exact"/>
        <w:ind w:right="0"/>
        <w:jc w:val="left"/>
        <w:rPr>
          <w:b w:val="0"/>
          <w:bCs w:val="0"/>
        </w:rPr>
      </w:pPr>
      <w:r>
        <w:t xml:space="preserve">第三条 </w:t>
      </w:r>
      <w:r>
        <w:rPr>
          <w:spacing w:val="1"/>
        </w:rPr>
        <w:t xml:space="preserve"> </w:t>
      </w:r>
      <w:r>
        <w:t>使用、收费及还款</w:t>
      </w:r>
    </w:p>
    <w:p>
      <w:pPr>
        <w:pStyle w:val="2"/>
        <w:spacing w:before="177" w:line="381" w:lineRule="auto"/>
        <w:ind w:left="120" w:right="199" w:firstLine="600" w:firstLineChars="0"/>
        <w:jc w:val="both"/>
        <w:rPr>
          <w:rFonts w:hint="eastAsia"/>
          <w:lang w:eastAsia="zh-CN"/>
        </w:rPr>
      </w:pPr>
      <w:r>
        <w:rPr>
          <w:rFonts w:ascii="仿宋" w:hAnsi="仿宋" w:eastAsia="仿宋" w:cs="仿宋"/>
        </w:rPr>
        <w:t>1.</w:t>
      </w:r>
      <w:r>
        <w:rPr>
          <w:rFonts w:ascii="仿宋" w:hAnsi="仿宋" w:eastAsia="仿宋" w:cs="仿宋"/>
          <w:spacing w:val="5"/>
        </w:rPr>
        <w:t xml:space="preserve"> </w:t>
      </w:r>
      <w:r>
        <w:rPr>
          <w:spacing w:val="4"/>
        </w:rPr>
        <w:t>持卡人可申请账单分期的期数为</w:t>
      </w:r>
      <w:r>
        <w:rPr>
          <w:rFonts w:ascii="仿宋" w:hAnsi="仿宋" w:eastAsia="仿宋" w:cs="仿宋"/>
        </w:rPr>
        <w:t>3</w:t>
      </w:r>
      <w:r>
        <w:rPr>
          <w:spacing w:val="3"/>
        </w:rPr>
        <w:t>期、</w:t>
      </w:r>
      <w:r>
        <w:rPr>
          <w:rFonts w:ascii="仿宋" w:hAnsi="仿宋" w:eastAsia="仿宋" w:cs="仿宋"/>
          <w:spacing w:val="3"/>
        </w:rPr>
        <w:t>6</w:t>
      </w:r>
      <w:r>
        <w:rPr>
          <w:spacing w:val="3"/>
        </w:rPr>
        <w:t>期、</w:t>
      </w:r>
      <w:r>
        <w:rPr>
          <w:rFonts w:ascii="仿宋" w:hAnsi="仿宋" w:eastAsia="仿宋" w:cs="仿宋"/>
          <w:spacing w:val="3"/>
        </w:rPr>
        <w:t>9</w:t>
      </w:r>
      <w:r>
        <w:rPr>
          <w:spacing w:val="2"/>
        </w:rPr>
        <w:t>期、</w:t>
      </w:r>
      <w:r>
        <w:rPr>
          <w:rFonts w:ascii="仿宋" w:hAnsi="仿宋" w:eastAsia="仿宋" w:cs="仿宋"/>
          <w:spacing w:val="2"/>
        </w:rPr>
        <w:t>12</w:t>
      </w:r>
      <w:r>
        <w:rPr>
          <w:spacing w:val="1"/>
        </w:rPr>
        <w:t>期、</w:t>
      </w:r>
      <w:r>
        <w:rPr>
          <w:rFonts w:ascii="仿宋" w:hAnsi="仿宋" w:eastAsia="仿宋" w:cs="仿宋"/>
          <w:spacing w:val="1"/>
        </w:rPr>
        <w:t>18</w:t>
      </w:r>
      <w:r>
        <w:rPr>
          <w:spacing w:val="1"/>
        </w:rPr>
        <w:t>期、</w:t>
      </w:r>
      <w:r>
        <w:rPr>
          <w:rFonts w:ascii="仿宋" w:hAnsi="仿宋" w:eastAsia="仿宋" w:cs="仿宋"/>
          <w:spacing w:val="1"/>
        </w:rPr>
        <w:t>24</w:t>
      </w:r>
      <w:r>
        <w:rPr>
          <w:spacing w:val="1"/>
        </w:rPr>
        <w:t>期六档分期期数，每期为</w:t>
      </w:r>
      <w:r>
        <w:rPr>
          <w:rFonts w:ascii="仿宋" w:hAnsi="仿宋" w:eastAsia="仿宋" w:cs="仿宋"/>
        </w:rPr>
        <w:t>1</w:t>
      </w:r>
      <w:r>
        <w:rPr>
          <w:spacing w:val="1"/>
        </w:rPr>
        <w:t>个月。申请账单分期</w:t>
      </w:r>
      <w:r>
        <w:t>的持卡人可以自由选择以上六档分期期数</w:t>
      </w:r>
      <w:r>
        <w:rPr>
          <w:spacing w:val="-94"/>
        </w:rPr>
        <w:t>。</w:t>
      </w:r>
      <w:r>
        <w:t>每期（月）标准手续费率为</w:t>
      </w:r>
      <w:r>
        <w:rPr>
          <w:rFonts w:ascii="仿宋" w:hAnsi="仿宋" w:eastAsia="仿宋" w:cs="仿宋"/>
        </w:rPr>
        <w:t>0.6%</w:t>
      </w:r>
      <w:r>
        <w:rPr>
          <w:rFonts w:hint="eastAsia" w:cs="仿宋"/>
          <w:lang w:eastAsia="zh-CN"/>
        </w:rPr>
        <w:t>，</w:t>
      </w:r>
      <w:r>
        <w:rPr>
          <w:rFonts w:hint="eastAsia"/>
          <w:lang w:val="en-US" w:eastAsia="zh-CN"/>
        </w:rPr>
        <w:t>分期手续费率对应的近似折算年化手续费率，</w:t>
      </w:r>
      <w:r>
        <w:rPr>
          <w:rFonts w:hint="eastAsia"/>
          <w:lang w:eastAsia="zh-CN"/>
        </w:rPr>
        <w:t>是根据借款人的借款本金</w:t>
      </w:r>
      <w:r>
        <w:rPr>
          <w:rFonts w:hint="eastAsia"/>
          <w:highlight w:val="none"/>
          <w:lang w:eastAsia="zh-CN"/>
        </w:rPr>
        <w:t>、每期还款金额、贷款期数等要素，考虑复利后计算得出的年化内部收益率（</w:t>
      </w:r>
      <w:r>
        <w:rPr>
          <w:rFonts w:hint="eastAsia"/>
          <w:highlight w:val="none"/>
          <w:lang w:val="en-US" w:eastAsia="zh-CN"/>
        </w:rPr>
        <w:t>IRR</w:t>
      </w:r>
      <w:r>
        <w:rPr>
          <w:rFonts w:hint="eastAsia"/>
          <w:highlight w:val="none"/>
          <w:lang w:eastAsia="zh-CN"/>
        </w:rPr>
        <w:t>）。</w:t>
      </w:r>
      <w:r>
        <w:rPr>
          <w:rFonts w:hint="eastAsia"/>
          <w:lang w:eastAsia="zh-CN"/>
        </w:rPr>
        <w:t>其公式为：</w:t>
      </w:r>
    </w:p>
    <w:p>
      <w:pPr>
        <w:pStyle w:val="2"/>
        <w:spacing w:line="342" w:lineRule="auto"/>
        <w:ind w:left="0" w:firstLine="600" w:firstLineChars="200"/>
        <w:jc w:val="left"/>
        <w:rPr>
          <w:rFonts w:hint="eastAsia" w:ascii="仿宋" w:hAnsi="仿宋" w:eastAsia="仿宋" w:cs="Times New Roman"/>
          <w:sz w:val="30"/>
          <w:szCs w:val="30"/>
          <w:lang w:val="en-US" w:eastAsia="zh-CN" w:bidi="ar-SA"/>
        </w:rPr>
      </w:pPr>
      <w:r>
        <w:rPr>
          <w:rFonts w:hint="eastAsia" w:cs="Times New Roman"/>
          <w:sz w:val="30"/>
          <w:szCs w:val="30"/>
          <w:lang w:val="en-US" w:eastAsia="zh-CN" w:bidi="ar-SA"/>
        </w:rPr>
        <w:t xml:space="preserve">   </w:t>
      </w:r>
      <w:r>
        <w:rPr>
          <w:rFonts w:hint="eastAsia" w:ascii="仿宋" w:hAnsi="仿宋" w:eastAsia="仿宋" w:cs="Times New Roman"/>
          <w:sz w:val="30"/>
          <w:szCs w:val="30"/>
          <w:lang w:val="en-US" w:eastAsia="zh-CN" w:bidi="ar-SA"/>
        </w:rPr>
        <w:object>
          <v:shape id="_x0000_s1027" type="#_x0000_t75" style="height:54.15pt;width:250.2pt;rotation:0f;" o:ole="t" fillcolor="#FFFFFF" filled="f" o:preferrelative="t" stroked="f" coordorigin="0,0" coordsize="21600,21600">
            <v:fill on="f" color2="#FFFFFF" focus="0%"/>
            <v:imagedata gain="65536f" blacklevel="0f" gamma="0" o:title="" r:id="rId7"/>
            <o:lock v:ext="edit" position="f" selection="f" grouping="f" rotation="f" cropping="f" text="f" aspectratio="f"/>
            <w10:wrap type="none"/>
            <w10:anchorlock/>
          </v:shape>
          <o:OLEObject Type="Embed" ProgID="StaticMetafile" ShapeID="_x0000_s1027" DrawAspect="Content" ObjectID="_1026" r:id="rId6"/>
        </w:object>
      </w:r>
    </w:p>
    <w:p>
      <w:pPr>
        <w:pStyle w:val="2"/>
        <w:spacing w:line="342" w:lineRule="auto"/>
        <w:ind w:left="0" w:firstLine="600" w:firstLineChars="200"/>
        <w:jc w:val="left"/>
        <w:rPr>
          <w:rFonts w:hint="eastAsia" w:ascii="仿宋" w:hAnsi="仿宋" w:eastAsia="仿宋" w:cs="Times New Roman"/>
          <w:sz w:val="30"/>
          <w:szCs w:val="30"/>
          <w:lang w:val="en-US" w:eastAsia="zh-CN" w:bidi="ar-SA"/>
        </w:rPr>
      </w:pPr>
      <w:r>
        <w:rPr>
          <w:rFonts w:hint="eastAsia" w:cs="Times New Roman"/>
          <w:sz w:val="30"/>
          <w:szCs w:val="30"/>
          <w:lang w:val="en-US" w:eastAsia="zh-CN" w:bidi="ar-SA"/>
        </w:rPr>
        <w:t>其中，n为年内还款频率（例如，每月还款一次为12），T为还款年数，由此计算得出的IRR即为年化利率。</w:t>
      </w:r>
    </w:p>
    <w:p>
      <w:pPr>
        <w:pStyle w:val="2"/>
        <w:spacing w:line="342" w:lineRule="auto"/>
        <w:ind w:left="0" w:firstLine="600" w:firstLineChars="200"/>
        <w:jc w:val="left"/>
        <w:rPr>
          <w:rFonts w:hint="eastAsia"/>
          <w:lang w:eastAsia="zh-CN"/>
        </w:rPr>
      </w:pPr>
      <w:r>
        <w:rPr>
          <w:rFonts w:hint="eastAsia" w:ascii="仿宋" w:hAnsi="仿宋" w:eastAsia="仿宋" w:cs="Times New Roman"/>
          <w:sz w:val="30"/>
          <w:szCs w:val="30"/>
          <w:lang w:val="en-US" w:eastAsia="zh-CN" w:bidi="ar-SA"/>
        </w:rPr>
        <w:object>
          <v:shape id="_x0000_s1028" type="#_x0000_t75" style="height:0.05pt;width:0.05pt;rotation:0f;" o:ole="t" fillcolor="#FFFFFF" filled="t" o:preferrelative="t" stroked="t" coordorigin="0,0" coordsize="21600,21600">
            <v:stroke color="#000000" color2="#FFFFFF" miterlimit="2"/>
            <v:imagedata gain="65536f" blacklevel="0f" gamma="0"/>
            <o:lock v:ext="edit" position="f" selection="f" grouping="f" rotation="f" cropping="f" text="f" aspectratio="f"/>
            <w10:wrap type="none"/>
            <w10:anchorlock/>
          </v:shape>
          <o:OLEObject Type="Embed" ProgID="RTX.FileAttach" ShapeID="_x0000_s1028" DrawAspect="Content" ObjectID="_1027" r:id="rId8"/>
        </w:object>
      </w:r>
      <w:r>
        <w:rPr>
          <w:rFonts w:hint="eastAsia" w:ascii="仿宋" w:hAnsi="仿宋" w:eastAsia="仿宋" w:cs="Times New Roman"/>
          <w:sz w:val="30"/>
          <w:szCs w:val="30"/>
          <w:lang w:val="en-US" w:eastAsia="zh-CN" w:bidi="ar-SA"/>
        </w:rPr>
        <w:object>
          <v:shape id="_x0000_s1029" type="#_x0000_t75" style="height:0.05pt;width:0.05pt;rotation:0f;" o:ole="t" fillcolor="#FFFFFF" filled="t" o:preferrelative="t" stroked="t" coordorigin="0,0" coordsize="21600,21600">
            <v:stroke color="#000000" color2="#FFFFFF" miterlimit="2"/>
            <v:imagedata gain="65536f" blacklevel="0f" gamma="0"/>
            <o:lock v:ext="edit" position="f" selection="f" grouping="f" rotation="f" cropping="f" text="f" aspectratio="f"/>
            <w10:wrap type="none"/>
            <w10:anchorlock/>
          </v:shape>
          <o:OLEObject Type="Embed" ProgID="RTX.FileAttach" ShapeID="_x0000_s1029" DrawAspect="Content" ObjectID="_1028" r:id="rId9"/>
        </w:object>
      </w:r>
      <w:r>
        <w:rPr>
          <w:rFonts w:hint="eastAsia"/>
          <w:lang w:eastAsia="zh-CN"/>
        </w:rPr>
        <w:t>账单分期各期数对应的期手续费率及其近似折算年化手续费率具体如下：</w:t>
      </w:r>
    </w:p>
    <w:tbl>
      <w:tblPr>
        <w:tblW w:w="78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36"/>
        <w:gridCol w:w="1016"/>
        <w:gridCol w:w="968"/>
        <w:gridCol w:w="1080"/>
        <w:gridCol w:w="1080"/>
        <w:gridCol w:w="1080"/>
        <w:gridCol w:w="1080"/>
      </w:tblGrid>
      <w:tr>
        <w:trPr>
          <w:trHeight w:val="462" w:hRule="exact"/>
          <w:jc w:val="center"/>
        </w:trPr>
        <w:tc>
          <w:tcPr>
            <w:tcW w:w="1536" w:type="dxa"/>
            <w:tcBorders>
              <w:top w:val="single" w:color="000000" w:sz="4" w:space="0"/>
              <w:left w:val="single" w:color="000000" w:sz="4" w:space="0"/>
              <w:bottom w:val="single" w:color="000000" w:sz="4" w:space="0"/>
              <w:right w:val="single" w:color="000000" w:sz="4" w:space="0"/>
            </w:tcBorders>
            <w:vAlign w:val="center"/>
          </w:tcPr>
          <w:p>
            <w:pPr>
              <w:pStyle w:val="6"/>
              <w:spacing w:line="346" w:lineRule="exact"/>
              <w:ind w:left="314" w:right="0"/>
              <w:jc w:val="center"/>
              <w:rPr>
                <w:rFonts w:ascii="Blackoak Std" w:hAnsi="Blackoak Std" w:eastAsia="Blackoak Std" w:cs="Blackoak Std"/>
                <w:b w:val="0"/>
                <w:bCs w:val="0"/>
                <w:sz w:val="22"/>
                <w:szCs w:val="22"/>
              </w:rPr>
            </w:pPr>
            <w:r>
              <w:rPr>
                <w:rFonts w:ascii="Microsoft JhengHei" w:hAnsi="Microsoft JhengHei" w:eastAsia="Microsoft JhengHei" w:cs="Microsoft JhengHei"/>
                <w:b w:val="0"/>
                <w:bCs w:val="0"/>
                <w:sz w:val="22"/>
                <w:szCs w:val="22"/>
              </w:rPr>
              <w:t>期数</w:t>
            </w:r>
            <w:r>
              <w:rPr>
                <w:rFonts w:ascii="Blackoak Std" w:hAnsi="Blackoak Std" w:eastAsia="Blackoak Std" w:cs="Blackoak Std"/>
                <w:b w:val="0"/>
                <w:bCs w:val="0"/>
                <w:sz w:val="22"/>
                <w:szCs w:val="22"/>
              </w:rPr>
              <w:t xml:space="preserve"> </w:t>
            </w:r>
          </w:p>
        </w:tc>
        <w:tc>
          <w:tcPr>
            <w:tcW w:w="1016" w:type="dxa"/>
            <w:tcBorders>
              <w:top w:val="single" w:color="000000" w:sz="4" w:space="0"/>
              <w:left w:val="single" w:color="000000" w:sz="4" w:space="0"/>
              <w:bottom w:val="single" w:color="000000" w:sz="4" w:space="0"/>
              <w:right w:val="single" w:color="000000" w:sz="4" w:space="0"/>
            </w:tcBorders>
            <w:vAlign w:val="center"/>
          </w:tcPr>
          <w:p>
            <w:pPr>
              <w:pStyle w:val="6"/>
              <w:spacing w:line="346" w:lineRule="exact"/>
              <w:ind w:left="369" w:right="0"/>
              <w:jc w:val="center"/>
              <w:rPr>
                <w:rFonts w:ascii="Blackoak Std" w:hAnsi="Blackoak Std" w:eastAsia="Blackoak Std" w:cs="Blackoak Std"/>
                <w:b w:val="0"/>
                <w:bCs w:val="0"/>
                <w:sz w:val="22"/>
                <w:szCs w:val="22"/>
              </w:rPr>
            </w:pPr>
            <w:r>
              <w:rPr>
                <w:rFonts w:ascii="Times New Roman" w:hAnsi="Times New Roman" w:eastAsia="Times New Roman" w:cs="Times New Roman"/>
                <w:b w:val="0"/>
                <w:bCs w:val="0"/>
                <w:sz w:val="22"/>
                <w:szCs w:val="22"/>
              </w:rPr>
              <w:t>3</w:t>
            </w:r>
            <w:r>
              <w:rPr>
                <w:rFonts w:ascii="Microsoft JhengHei" w:hAnsi="Microsoft JhengHei" w:eastAsia="Microsoft JhengHei" w:cs="Microsoft JhengHei"/>
                <w:b w:val="0"/>
                <w:bCs w:val="0"/>
                <w:sz w:val="22"/>
                <w:szCs w:val="22"/>
              </w:rPr>
              <w:t>期</w:t>
            </w:r>
            <w:r>
              <w:rPr>
                <w:rFonts w:ascii="Blackoak Std" w:hAnsi="Blackoak Std" w:eastAsia="Blackoak Std" w:cs="Blackoak Std"/>
                <w:b w:val="0"/>
                <w:bCs w:val="0"/>
                <w:sz w:val="22"/>
                <w:szCs w:val="22"/>
              </w:rPr>
              <w:t xml:space="preserve"> </w:t>
            </w: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6"/>
              <w:spacing w:line="346" w:lineRule="exact"/>
              <w:ind w:left="369" w:right="0"/>
              <w:jc w:val="center"/>
              <w:rPr>
                <w:rFonts w:ascii="Blackoak Std" w:hAnsi="Blackoak Std" w:eastAsia="Blackoak Std" w:cs="Blackoak Std"/>
                <w:b w:val="0"/>
                <w:bCs w:val="0"/>
                <w:sz w:val="22"/>
                <w:szCs w:val="22"/>
              </w:rPr>
            </w:pPr>
            <w:r>
              <w:rPr>
                <w:rFonts w:ascii="Times New Roman" w:hAnsi="Times New Roman" w:eastAsia="Times New Roman" w:cs="Times New Roman"/>
                <w:b w:val="0"/>
                <w:bCs w:val="0"/>
                <w:sz w:val="22"/>
                <w:szCs w:val="22"/>
              </w:rPr>
              <w:t>6</w:t>
            </w:r>
            <w:r>
              <w:rPr>
                <w:rFonts w:ascii="Microsoft JhengHei" w:hAnsi="Microsoft JhengHei" w:eastAsia="Microsoft JhengHei" w:cs="Microsoft JhengHei"/>
                <w:b w:val="0"/>
                <w:bCs w:val="0"/>
                <w:sz w:val="22"/>
                <w:szCs w:val="22"/>
              </w:rPr>
              <w:t>期</w:t>
            </w:r>
            <w:r>
              <w:rPr>
                <w:rFonts w:ascii="Blackoak Std" w:hAnsi="Blackoak Std" w:eastAsia="Blackoak Std" w:cs="Blackoak Std"/>
                <w:b w:val="0"/>
                <w:bCs w:val="0"/>
                <w:sz w:val="22"/>
                <w:szCs w:val="22"/>
              </w:rPr>
              <w:t xml:space="preserve"> </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6"/>
              <w:spacing w:line="346" w:lineRule="exact"/>
              <w:ind w:left="369" w:right="0"/>
              <w:jc w:val="center"/>
              <w:rPr>
                <w:rFonts w:ascii="Blackoak Std" w:hAnsi="Blackoak Std" w:eastAsia="Blackoak Std" w:cs="Blackoak Std"/>
                <w:b w:val="0"/>
                <w:bCs w:val="0"/>
                <w:sz w:val="22"/>
                <w:szCs w:val="22"/>
              </w:rPr>
            </w:pPr>
            <w:r>
              <w:rPr>
                <w:rFonts w:ascii="Times New Roman" w:hAnsi="Times New Roman" w:eastAsia="Times New Roman" w:cs="Times New Roman"/>
                <w:b w:val="0"/>
                <w:bCs w:val="0"/>
                <w:sz w:val="22"/>
                <w:szCs w:val="22"/>
              </w:rPr>
              <w:t>9</w:t>
            </w:r>
            <w:r>
              <w:rPr>
                <w:rFonts w:ascii="Microsoft JhengHei" w:hAnsi="Microsoft JhengHei" w:eastAsia="Microsoft JhengHei" w:cs="Microsoft JhengHei"/>
                <w:b w:val="0"/>
                <w:bCs w:val="0"/>
                <w:sz w:val="22"/>
                <w:szCs w:val="22"/>
              </w:rPr>
              <w:t>期</w:t>
            </w:r>
            <w:r>
              <w:rPr>
                <w:rFonts w:ascii="Blackoak Std" w:hAnsi="Blackoak Std" w:eastAsia="Blackoak Std" w:cs="Blackoak Std"/>
                <w:b w:val="0"/>
                <w:bCs w:val="0"/>
                <w:sz w:val="22"/>
                <w:szCs w:val="22"/>
              </w:rPr>
              <w:t xml:space="preserve"> </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6"/>
              <w:spacing w:line="346" w:lineRule="exact"/>
              <w:ind w:left="313" w:right="0"/>
              <w:jc w:val="center"/>
              <w:rPr>
                <w:rFonts w:ascii="Blackoak Std" w:hAnsi="Blackoak Std" w:eastAsia="Blackoak Std" w:cs="Blackoak Std"/>
                <w:b w:val="0"/>
                <w:bCs w:val="0"/>
                <w:sz w:val="22"/>
                <w:szCs w:val="22"/>
              </w:rPr>
            </w:pPr>
            <w:r>
              <w:rPr>
                <w:rFonts w:ascii="Times New Roman" w:hAnsi="Times New Roman" w:eastAsia="Times New Roman" w:cs="Times New Roman"/>
                <w:b w:val="0"/>
                <w:bCs w:val="0"/>
                <w:sz w:val="22"/>
                <w:szCs w:val="22"/>
              </w:rPr>
              <w:t>12</w:t>
            </w:r>
            <w:r>
              <w:rPr>
                <w:rFonts w:ascii="Microsoft JhengHei" w:hAnsi="Microsoft JhengHei" w:eastAsia="Microsoft JhengHei" w:cs="Microsoft JhengHei"/>
                <w:b w:val="0"/>
                <w:bCs w:val="0"/>
                <w:sz w:val="22"/>
                <w:szCs w:val="22"/>
              </w:rPr>
              <w:t>期</w:t>
            </w:r>
            <w:r>
              <w:rPr>
                <w:rFonts w:ascii="Blackoak Std" w:hAnsi="Blackoak Std" w:eastAsia="Blackoak Std" w:cs="Blackoak Std"/>
                <w:b w:val="0"/>
                <w:bCs w:val="0"/>
                <w:sz w:val="22"/>
                <w:szCs w:val="22"/>
              </w:rPr>
              <w:t xml:space="preserve"> </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6"/>
              <w:spacing w:line="346" w:lineRule="exact"/>
              <w:ind w:left="313" w:right="0"/>
              <w:jc w:val="center"/>
              <w:rPr>
                <w:rFonts w:ascii="Blackoak Std" w:hAnsi="Blackoak Std" w:eastAsia="Blackoak Std" w:cs="Blackoak Std"/>
                <w:b w:val="0"/>
                <w:bCs w:val="0"/>
                <w:sz w:val="22"/>
                <w:szCs w:val="22"/>
              </w:rPr>
            </w:pPr>
            <w:r>
              <w:rPr>
                <w:rFonts w:ascii="Times New Roman" w:hAnsi="Times New Roman" w:eastAsia="Times New Roman" w:cs="Times New Roman"/>
                <w:b w:val="0"/>
                <w:bCs w:val="0"/>
                <w:sz w:val="22"/>
                <w:szCs w:val="22"/>
              </w:rPr>
              <w:t>18</w:t>
            </w:r>
            <w:r>
              <w:rPr>
                <w:rFonts w:ascii="Microsoft JhengHei" w:hAnsi="Microsoft JhengHei" w:eastAsia="Microsoft JhengHei" w:cs="Microsoft JhengHei"/>
                <w:b w:val="0"/>
                <w:bCs w:val="0"/>
                <w:sz w:val="22"/>
                <w:szCs w:val="22"/>
              </w:rPr>
              <w:t>期</w:t>
            </w:r>
            <w:r>
              <w:rPr>
                <w:rFonts w:ascii="Blackoak Std" w:hAnsi="Blackoak Std" w:eastAsia="Blackoak Std" w:cs="Blackoak Std"/>
                <w:b w:val="0"/>
                <w:bCs w:val="0"/>
                <w:sz w:val="22"/>
                <w:szCs w:val="22"/>
              </w:rPr>
              <w:t xml:space="preserve"> </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6"/>
              <w:spacing w:line="346" w:lineRule="exact"/>
              <w:ind w:left="313" w:right="0"/>
              <w:jc w:val="center"/>
              <w:rPr>
                <w:rFonts w:ascii="Blackoak Std" w:hAnsi="Blackoak Std" w:eastAsia="Blackoak Std" w:cs="Blackoak Std"/>
                <w:b w:val="0"/>
                <w:bCs w:val="0"/>
                <w:sz w:val="22"/>
                <w:szCs w:val="22"/>
              </w:rPr>
            </w:pPr>
            <w:r>
              <w:rPr>
                <w:rFonts w:ascii="Times New Roman" w:hAnsi="Times New Roman" w:eastAsia="Times New Roman" w:cs="Times New Roman"/>
                <w:b w:val="0"/>
                <w:bCs w:val="0"/>
                <w:sz w:val="22"/>
                <w:szCs w:val="22"/>
              </w:rPr>
              <w:t>24</w:t>
            </w:r>
            <w:r>
              <w:rPr>
                <w:rFonts w:ascii="Microsoft JhengHei" w:hAnsi="Microsoft JhengHei" w:eastAsia="Microsoft JhengHei" w:cs="Microsoft JhengHei"/>
                <w:b w:val="0"/>
                <w:bCs w:val="0"/>
                <w:sz w:val="22"/>
                <w:szCs w:val="22"/>
              </w:rPr>
              <w:t>期</w:t>
            </w:r>
            <w:r>
              <w:rPr>
                <w:rFonts w:ascii="Blackoak Std" w:hAnsi="Blackoak Std" w:eastAsia="Blackoak Std" w:cs="Blackoak Std"/>
                <w:b w:val="0"/>
                <w:bCs w:val="0"/>
                <w:sz w:val="22"/>
                <w:szCs w:val="22"/>
              </w:rPr>
              <w:t xml:space="preserve"> </w:t>
            </w:r>
          </w:p>
        </w:tc>
      </w:tr>
      <w:tr>
        <w:trPr>
          <w:trHeight w:val="653" w:hRule="exact"/>
          <w:jc w:val="center"/>
        </w:trPr>
        <w:tc>
          <w:tcPr>
            <w:tcW w:w="1536" w:type="dxa"/>
            <w:tcBorders>
              <w:top w:val="single" w:color="000000" w:sz="4" w:space="0"/>
              <w:left w:val="single" w:color="000000" w:sz="4" w:space="0"/>
              <w:bottom w:val="single" w:color="000000" w:sz="4" w:space="0"/>
              <w:right w:val="single" w:color="000000" w:sz="4" w:space="0"/>
            </w:tcBorders>
            <w:vAlign w:val="center"/>
          </w:tcPr>
          <w:p>
            <w:pPr>
              <w:pStyle w:val="6"/>
              <w:spacing w:line="373" w:lineRule="exact"/>
              <w:ind w:left="93" w:right="-17"/>
              <w:jc w:val="center"/>
              <w:rPr>
                <w:rFonts w:ascii="宋体" w:hAnsi="宋体" w:eastAsia="宋体" w:cs="宋体"/>
                <w:b w:val="0"/>
                <w:bCs w:val="0"/>
                <w:sz w:val="22"/>
                <w:szCs w:val="22"/>
              </w:rPr>
            </w:pPr>
            <w:r>
              <w:rPr>
                <w:rFonts w:hint="eastAsia" w:ascii="Microsoft JhengHei" w:hAnsi="Microsoft JhengHei" w:cs="Microsoft JhengHei"/>
                <w:b w:val="0"/>
                <w:bCs w:val="0"/>
                <w:sz w:val="22"/>
                <w:szCs w:val="22"/>
                <w:lang w:eastAsia="zh-CN"/>
              </w:rPr>
              <w:t>分</w:t>
            </w:r>
            <w:bookmarkStart w:id="0" w:name="_GoBack"/>
            <w:bookmarkEnd w:id="0"/>
            <w:r>
              <w:rPr>
                <w:rFonts w:hint="eastAsia" w:ascii="Microsoft JhengHei" w:hAnsi="Microsoft JhengHei" w:cs="Microsoft JhengHei"/>
                <w:b w:val="0"/>
                <w:bCs w:val="0"/>
                <w:sz w:val="22"/>
                <w:szCs w:val="22"/>
                <w:lang w:eastAsia="zh-CN"/>
              </w:rPr>
              <w:t>期</w:t>
            </w:r>
            <w:r>
              <w:rPr>
                <w:rFonts w:ascii="Microsoft JhengHei" w:hAnsi="Microsoft JhengHei" w:eastAsia="Microsoft JhengHei" w:cs="Microsoft JhengHei"/>
                <w:b w:val="0"/>
                <w:bCs w:val="0"/>
                <w:sz w:val="22"/>
                <w:szCs w:val="22"/>
              </w:rPr>
              <w:t>手续费率</w:t>
            </w:r>
            <w:r>
              <w:rPr>
                <w:rFonts w:ascii="宋体" w:hAnsi="宋体" w:eastAsia="宋体" w:cs="宋体"/>
                <w:b w:val="0"/>
                <w:bCs w:val="0"/>
                <w:sz w:val="22"/>
                <w:szCs w:val="22"/>
              </w:rPr>
              <w:t xml:space="preserve"> </w:t>
            </w:r>
          </w:p>
        </w:tc>
        <w:tc>
          <w:tcPr>
            <w:tcW w:w="1016" w:type="dxa"/>
            <w:tcBorders>
              <w:top w:val="single" w:color="000000" w:sz="4" w:space="0"/>
              <w:left w:val="single" w:color="000000" w:sz="4" w:space="0"/>
              <w:bottom w:val="single" w:color="000000" w:sz="4" w:space="0"/>
              <w:right w:val="single" w:color="000000" w:sz="4" w:space="0"/>
            </w:tcBorders>
            <w:vAlign w:val="center"/>
          </w:tcPr>
          <w:p>
            <w:pPr>
              <w:pStyle w:val="6"/>
              <w:spacing w:before="60" w:line="240" w:lineRule="auto"/>
              <w:ind w:left="260" w:right="0"/>
              <w:jc w:val="center"/>
              <w:rPr>
                <w:rFonts w:ascii="宋体" w:hAnsi="宋体" w:eastAsia="宋体" w:cs="宋体"/>
                <w:b w:val="0"/>
                <w:bCs w:val="0"/>
                <w:sz w:val="22"/>
                <w:szCs w:val="22"/>
              </w:rPr>
            </w:pPr>
            <w:r>
              <w:rPr>
                <w:rFonts w:ascii="宋体"/>
                <w:b w:val="0"/>
                <w:bCs w:val="0"/>
                <w:sz w:val="22"/>
              </w:rPr>
              <w:t xml:space="preserve">1.80% </w:t>
            </w: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6"/>
              <w:spacing w:before="60" w:line="240" w:lineRule="auto"/>
              <w:ind w:left="260" w:right="0"/>
              <w:jc w:val="center"/>
              <w:rPr>
                <w:rFonts w:ascii="宋体" w:hAnsi="宋体" w:eastAsia="宋体" w:cs="宋体"/>
                <w:b w:val="0"/>
                <w:bCs w:val="0"/>
                <w:sz w:val="22"/>
                <w:szCs w:val="22"/>
              </w:rPr>
            </w:pPr>
            <w:r>
              <w:rPr>
                <w:rFonts w:ascii="宋体"/>
                <w:b w:val="0"/>
                <w:bCs w:val="0"/>
                <w:sz w:val="22"/>
              </w:rPr>
              <w:t xml:space="preserve">3.60% </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6"/>
              <w:spacing w:before="60" w:line="240" w:lineRule="auto"/>
              <w:ind w:left="260" w:right="0"/>
              <w:jc w:val="center"/>
              <w:rPr>
                <w:rFonts w:ascii="宋体" w:hAnsi="宋体" w:eastAsia="宋体" w:cs="宋体"/>
                <w:b w:val="0"/>
                <w:bCs w:val="0"/>
                <w:sz w:val="22"/>
                <w:szCs w:val="22"/>
              </w:rPr>
            </w:pPr>
            <w:r>
              <w:rPr>
                <w:rFonts w:ascii="宋体"/>
                <w:b w:val="0"/>
                <w:bCs w:val="0"/>
                <w:sz w:val="22"/>
              </w:rPr>
              <w:t xml:space="preserve">5.40% </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6"/>
              <w:spacing w:before="60" w:line="240" w:lineRule="auto"/>
              <w:ind w:left="260" w:right="0"/>
              <w:jc w:val="center"/>
              <w:rPr>
                <w:rFonts w:ascii="宋体" w:hAnsi="宋体" w:eastAsia="宋体" w:cs="宋体"/>
                <w:b w:val="0"/>
                <w:bCs w:val="0"/>
                <w:sz w:val="22"/>
                <w:szCs w:val="22"/>
              </w:rPr>
            </w:pPr>
            <w:r>
              <w:rPr>
                <w:rFonts w:ascii="宋体"/>
                <w:b w:val="0"/>
                <w:bCs w:val="0"/>
                <w:sz w:val="22"/>
              </w:rPr>
              <w:t xml:space="preserve">7.20% </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6"/>
              <w:spacing w:before="60" w:line="240" w:lineRule="auto"/>
              <w:ind w:left="205" w:right="0"/>
              <w:jc w:val="center"/>
              <w:rPr>
                <w:rFonts w:ascii="宋体" w:hAnsi="宋体" w:eastAsia="宋体" w:cs="宋体"/>
                <w:b w:val="0"/>
                <w:bCs w:val="0"/>
                <w:sz w:val="22"/>
                <w:szCs w:val="22"/>
              </w:rPr>
            </w:pPr>
            <w:r>
              <w:rPr>
                <w:rFonts w:ascii="宋体"/>
                <w:b w:val="0"/>
                <w:bCs w:val="0"/>
                <w:sz w:val="22"/>
              </w:rPr>
              <w:t xml:space="preserve">10.80% </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6"/>
              <w:spacing w:before="60" w:line="240" w:lineRule="auto"/>
              <w:ind w:left="205" w:right="0"/>
              <w:jc w:val="center"/>
              <w:rPr>
                <w:rFonts w:ascii="宋体" w:hAnsi="宋体" w:eastAsia="宋体" w:cs="宋体"/>
                <w:b w:val="0"/>
                <w:bCs w:val="0"/>
                <w:sz w:val="22"/>
                <w:szCs w:val="22"/>
              </w:rPr>
            </w:pPr>
            <w:r>
              <w:rPr>
                <w:rFonts w:ascii="宋体"/>
                <w:b w:val="0"/>
                <w:bCs w:val="0"/>
                <w:sz w:val="22"/>
              </w:rPr>
              <w:t xml:space="preserve">14.40% </w:t>
            </w:r>
          </w:p>
        </w:tc>
      </w:tr>
      <w:tr>
        <w:trPr>
          <w:trHeight w:val="799" w:hRule="exact"/>
          <w:jc w:val="center"/>
        </w:trPr>
        <w:tc>
          <w:tcPr>
            <w:tcW w:w="1536" w:type="dxa"/>
            <w:tcBorders>
              <w:top w:val="single" w:color="000000" w:sz="4" w:space="0"/>
              <w:left w:val="single" w:color="000000" w:sz="4" w:space="0"/>
              <w:bottom w:val="single" w:color="000000" w:sz="4" w:space="0"/>
              <w:right w:val="single" w:color="000000" w:sz="4" w:space="0"/>
            </w:tcBorders>
            <w:vAlign w:val="center"/>
          </w:tcPr>
          <w:p>
            <w:pPr>
              <w:pStyle w:val="6"/>
              <w:spacing w:line="373" w:lineRule="exact"/>
              <w:ind w:left="93" w:right="-17"/>
              <w:jc w:val="center"/>
              <w:rPr>
                <w:rFonts w:hint="eastAsia"/>
                <w:lang w:val="en-US" w:eastAsia="zh-CN"/>
              </w:rPr>
            </w:pPr>
            <w:r>
              <w:rPr>
                <w:rFonts w:hint="eastAsia"/>
                <w:lang w:val="en-US" w:eastAsia="zh-CN"/>
              </w:rPr>
              <w:t>近似折算年化手续费率</w:t>
            </w:r>
          </w:p>
        </w:tc>
        <w:tc>
          <w:tcPr>
            <w:tcW w:w="1016" w:type="dxa"/>
            <w:tcBorders>
              <w:top w:val="single" w:color="000000" w:sz="4" w:space="0"/>
              <w:left w:val="single" w:color="000000" w:sz="4" w:space="0"/>
              <w:bottom w:val="single" w:color="000000" w:sz="4" w:space="0"/>
              <w:right w:val="single" w:color="000000" w:sz="4" w:space="0"/>
            </w:tcBorders>
            <w:vAlign w:val="center"/>
          </w:tcPr>
          <w:p>
            <w:pPr>
              <w:pStyle w:val="6"/>
              <w:spacing w:before="60" w:line="240" w:lineRule="auto"/>
              <w:ind w:left="260" w:right="0"/>
              <w:jc w:val="center"/>
              <w:rPr>
                <w:rFonts w:hint="eastAsia" w:ascii="宋体"/>
                <w:sz w:val="22"/>
                <w:lang w:val="en-US" w:eastAsia="zh-CN"/>
              </w:rPr>
            </w:pPr>
            <w:r>
              <w:rPr>
                <w:rFonts w:hint="eastAsia" w:ascii="宋体"/>
                <w:sz w:val="22"/>
                <w:lang w:val="en-US" w:eastAsia="zh-CN"/>
              </w:rPr>
              <w:t>11.42%</w:t>
            </w: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6"/>
              <w:spacing w:before="60" w:line="240" w:lineRule="auto"/>
              <w:ind w:left="260" w:right="0"/>
              <w:jc w:val="center"/>
              <w:rPr>
                <w:rFonts w:hint="eastAsia" w:ascii="宋体"/>
                <w:sz w:val="22"/>
                <w:lang w:val="en-US" w:eastAsia="zh-CN"/>
              </w:rPr>
            </w:pPr>
            <w:r>
              <w:rPr>
                <w:rFonts w:hint="eastAsia" w:ascii="宋体"/>
                <w:sz w:val="22"/>
                <w:lang w:val="en-US" w:eastAsia="zh-CN"/>
              </w:rPr>
              <w:t>12.95%</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6"/>
              <w:spacing w:before="60" w:line="240" w:lineRule="auto"/>
              <w:ind w:left="260" w:right="0"/>
              <w:jc w:val="center"/>
              <w:rPr>
                <w:rFonts w:hint="eastAsia" w:ascii="宋体"/>
                <w:sz w:val="22"/>
                <w:lang w:val="en-US" w:eastAsia="zh-CN"/>
              </w:rPr>
            </w:pPr>
            <w:r>
              <w:rPr>
                <w:rFonts w:hint="eastAsia" w:ascii="宋体"/>
                <w:sz w:val="22"/>
                <w:lang w:val="en-US" w:eastAsia="zh-CN"/>
              </w:rPr>
              <w:t>13.56%</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6"/>
              <w:spacing w:before="60" w:line="240" w:lineRule="auto"/>
              <w:ind w:left="260" w:right="0"/>
              <w:jc w:val="center"/>
              <w:rPr>
                <w:rFonts w:hint="eastAsia" w:ascii="宋体"/>
                <w:sz w:val="22"/>
                <w:lang w:val="en-US" w:eastAsia="zh-CN"/>
              </w:rPr>
            </w:pPr>
            <w:r>
              <w:rPr>
                <w:rFonts w:hint="eastAsia" w:ascii="宋体"/>
                <w:sz w:val="22"/>
                <w:lang w:val="en-US" w:eastAsia="zh-CN"/>
              </w:rPr>
              <w:t>13.84%</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6"/>
              <w:spacing w:before="60" w:line="240" w:lineRule="auto"/>
              <w:ind w:left="205" w:right="0"/>
              <w:jc w:val="center"/>
              <w:rPr>
                <w:rFonts w:hint="eastAsia" w:ascii="宋体" w:eastAsia="宋体"/>
                <w:sz w:val="22"/>
                <w:lang w:val="en-US" w:eastAsia="zh-CN"/>
              </w:rPr>
            </w:pPr>
            <w:r>
              <w:rPr>
                <w:rFonts w:hint="eastAsia" w:ascii="宋体"/>
                <w:sz w:val="22"/>
                <w:lang w:val="en-US" w:eastAsia="zh-CN"/>
              </w:rPr>
              <w:t>14.06%</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6"/>
              <w:spacing w:before="60" w:line="240" w:lineRule="auto"/>
              <w:ind w:left="205" w:right="0"/>
              <w:jc w:val="center"/>
              <w:rPr>
                <w:rFonts w:hint="eastAsia" w:ascii="宋体"/>
                <w:sz w:val="22"/>
                <w:lang w:val="en-US" w:eastAsia="zh-CN"/>
              </w:rPr>
            </w:pPr>
            <w:r>
              <w:rPr>
                <w:rFonts w:hint="eastAsia" w:ascii="宋体"/>
                <w:sz w:val="22"/>
                <w:lang w:val="en-US" w:eastAsia="zh-CN"/>
              </w:rPr>
              <w:t>14.10%</w:t>
            </w:r>
          </w:p>
        </w:tc>
      </w:tr>
    </w:tbl>
    <w:p>
      <w:pPr>
        <w:pStyle w:val="2"/>
        <w:spacing w:line="342" w:lineRule="auto"/>
        <w:ind w:left="0" w:firstLine="600" w:firstLineChars="200"/>
        <w:jc w:val="left"/>
        <w:rPr>
          <w:rFonts w:hint="eastAsia"/>
          <w:lang w:eastAsia="zh-CN"/>
        </w:rPr>
      </w:pPr>
      <w:r>
        <w:rPr>
          <w:rFonts w:hint="eastAsia"/>
          <w:lang w:eastAsia="zh-CN"/>
        </w:rPr>
        <w:t>如持卡人未依约还款则不适用上述近似折算年化手续费率。</w:t>
      </w:r>
    </w:p>
    <w:p>
      <w:pPr>
        <w:pStyle w:val="2"/>
        <w:spacing w:line="342" w:lineRule="auto"/>
        <w:ind w:left="0" w:firstLine="600" w:firstLineChars="200"/>
        <w:jc w:val="left"/>
        <w:rPr>
          <w:rFonts w:hint="eastAsia"/>
          <w:lang w:val="en-US" w:eastAsia="zh-CN"/>
        </w:rPr>
      </w:pPr>
      <w:r>
        <w:rPr>
          <w:rFonts w:hint="eastAsia"/>
          <w:lang w:val="en-US" w:eastAsia="zh-CN"/>
        </w:rPr>
        <w:t>2.</w:t>
      </w:r>
      <w:r>
        <w:t>账单分期手续费</w:t>
      </w:r>
      <w:r>
        <w:rPr>
          <w:rFonts w:ascii="仿宋" w:hAnsi="仿宋" w:eastAsia="仿宋" w:cs="仿宋"/>
        </w:rPr>
        <w:t>=</w:t>
      </w:r>
      <w:r>
        <w:t>分期本金总额×对应期数的手续费率</w:t>
      </w:r>
      <w:r>
        <w:rPr>
          <w:rFonts w:hint="eastAsia"/>
          <w:lang w:eastAsia="zh-CN"/>
        </w:rPr>
        <w:t>，</w:t>
      </w:r>
      <w:r>
        <w:rPr>
          <w:spacing w:val="7"/>
        </w:rPr>
        <w:t>手续费在</w:t>
      </w:r>
      <w:r>
        <w:rPr>
          <w:rFonts w:hint="eastAsia"/>
          <w:spacing w:val="7"/>
          <w:lang w:val="en-US" w:eastAsia="zh-CN"/>
        </w:rPr>
        <w:t>账单</w:t>
      </w:r>
      <w:r>
        <w:rPr>
          <w:spacing w:val="7"/>
        </w:rPr>
        <w:t>分期申请成功后与当期应还本金一并计入持卡人信用卡账户。手续费</w:t>
      </w:r>
      <w:r>
        <w:rPr>
          <w:rFonts w:hint="default"/>
          <w:spacing w:val="7"/>
          <w:lang w:val="en-US" w:eastAsia="zh-CN"/>
        </w:rPr>
        <w:t>收取方式为：</w:t>
      </w:r>
      <w:r>
        <w:rPr>
          <w:rFonts w:hint="default" w:ascii="仿宋" w:hAnsi="仿宋" w:eastAsia="仿宋"/>
          <w:color w:val="auto"/>
          <w:spacing w:val="7"/>
          <w:sz w:val="30"/>
          <w:lang w:val="zh-CN"/>
        </w:rPr>
        <w:t>三期及以下手续费一次性收取；三期以上手续费收取方式为</w:t>
      </w:r>
      <w:r>
        <w:rPr>
          <w:rFonts w:hint="eastAsia"/>
          <w:color w:val="auto"/>
          <w:spacing w:val="7"/>
          <w:sz w:val="30"/>
          <w:lang w:val="en-US" w:eastAsia="zh-CN"/>
        </w:rPr>
        <w:t>分摊每期</w:t>
      </w:r>
      <w:r>
        <w:rPr>
          <w:rFonts w:hint="default" w:ascii="仿宋" w:hAnsi="仿宋" w:eastAsia="仿宋"/>
          <w:color w:val="auto"/>
          <w:spacing w:val="7"/>
          <w:sz w:val="30"/>
          <w:lang w:val="zh-CN"/>
        </w:rPr>
        <w:t>收取</w:t>
      </w:r>
      <w:r>
        <w:rPr>
          <w:rFonts w:hint="eastAsia"/>
          <w:color w:val="auto"/>
          <w:spacing w:val="7"/>
          <w:sz w:val="30"/>
          <w:lang w:val="zh-CN"/>
        </w:rPr>
        <w:t>。</w:t>
      </w:r>
      <w:r>
        <w:rPr>
          <w:rFonts w:hint="default" w:ascii="仿宋" w:hAnsi="仿宋" w:eastAsia="仿宋"/>
          <w:color w:val="auto"/>
          <w:spacing w:val="7"/>
          <w:sz w:val="30"/>
          <w:lang w:val="zh-CN"/>
        </w:rPr>
        <w:t>三期及以下提前还款手续费</w:t>
      </w:r>
      <w:r>
        <w:rPr>
          <w:rFonts w:hint="eastAsia"/>
          <w:color w:val="auto"/>
          <w:spacing w:val="7"/>
          <w:sz w:val="30"/>
          <w:lang w:val="en-US" w:eastAsia="zh-CN"/>
        </w:rPr>
        <w:t>不予退还</w:t>
      </w:r>
      <w:r>
        <w:rPr>
          <w:rFonts w:hint="default" w:ascii="仿宋" w:hAnsi="仿宋" w:eastAsia="仿宋"/>
          <w:color w:val="auto"/>
          <w:spacing w:val="7"/>
          <w:sz w:val="30"/>
          <w:lang w:val="zh-CN"/>
        </w:rPr>
        <w:t>；三期以上</w:t>
      </w:r>
      <w:r>
        <w:rPr>
          <w:rFonts w:hint="eastAsia"/>
          <w:color w:val="auto"/>
          <w:spacing w:val="7"/>
          <w:sz w:val="30"/>
          <w:lang w:val="en-US" w:eastAsia="zh-CN"/>
        </w:rPr>
        <w:t>全额</w:t>
      </w:r>
      <w:r>
        <w:rPr>
          <w:rFonts w:hint="default" w:ascii="仿宋" w:hAnsi="仿宋" w:eastAsia="仿宋"/>
          <w:color w:val="auto"/>
          <w:spacing w:val="7"/>
          <w:sz w:val="30"/>
          <w:lang w:val="zh-CN"/>
        </w:rPr>
        <w:t>提前还款未分摊手续费按天计收</w:t>
      </w:r>
      <w:r>
        <w:rPr>
          <w:rFonts w:hint="eastAsia"/>
          <w:color w:val="auto"/>
          <w:spacing w:val="7"/>
          <w:sz w:val="30"/>
          <w:lang w:val="zh-CN"/>
        </w:rPr>
        <w:t>；</w:t>
      </w:r>
      <w:r>
        <w:rPr>
          <w:rFonts w:hint="default" w:ascii="仿宋" w:hAnsi="仿宋" w:eastAsia="仿宋"/>
          <w:color w:val="auto"/>
          <w:spacing w:val="7"/>
          <w:sz w:val="30"/>
          <w:lang w:val="en-US" w:eastAsia="zh-CN"/>
        </w:rPr>
        <w:t>三期以上部分提前还款未分摊手续费不免除</w:t>
      </w:r>
      <w:r>
        <w:rPr>
          <w:rFonts w:hint="default"/>
          <w:color w:val="auto"/>
          <w:spacing w:val="7"/>
          <w:sz w:val="30"/>
          <w:lang w:val="en-US" w:eastAsia="zh-CN"/>
        </w:rPr>
        <w:t>。</w:t>
      </w:r>
      <w:r>
        <w:rPr>
          <w:rFonts w:hint="eastAsia"/>
          <w:color w:val="auto"/>
          <w:spacing w:val="7"/>
          <w:sz w:val="30"/>
          <w:lang w:val="zh-CN"/>
        </w:rPr>
        <w:t>（</w:t>
      </w:r>
      <w:r>
        <w:rPr>
          <w:rFonts w:hint="default" w:ascii="仿宋" w:hAnsi="仿宋" w:eastAsia="仿宋"/>
          <w:color w:val="auto"/>
          <w:spacing w:val="7"/>
          <w:sz w:val="30"/>
          <w:lang w:val="zh-CN"/>
        </w:rPr>
        <w:t>“按天计收”为账单日至还款期的实际天数/30*每期摊销手续费，此部分手续费在下一账单计收，后续账期再无分期手续费。</w:t>
      </w:r>
      <w:r>
        <w:rPr>
          <w:rFonts w:hint="eastAsia"/>
          <w:color w:val="auto"/>
          <w:spacing w:val="7"/>
          <w:sz w:val="30"/>
          <w:lang w:val="zh-CN"/>
        </w:rPr>
        <w:t>）</w:t>
      </w:r>
    </w:p>
    <w:p>
      <w:pPr>
        <w:pStyle w:val="2"/>
        <w:spacing w:line="297" w:lineRule="auto"/>
        <w:ind w:right="197"/>
        <w:jc w:val="both"/>
      </w:pPr>
      <w:r>
        <w:rPr>
          <w:rFonts w:ascii="仿宋" w:hAnsi="仿宋" w:eastAsia="仿宋" w:cs="仿宋"/>
        </w:rPr>
        <w:t xml:space="preserve">3. </w:t>
      </w:r>
      <w:r>
        <w:t>账单分期的每期应还本金</w:t>
      </w:r>
      <w:r>
        <w:rPr>
          <w:rFonts w:ascii="仿宋" w:hAnsi="仿宋" w:eastAsia="仿宋" w:cs="仿宋"/>
        </w:rPr>
        <w:t>=</w:t>
      </w:r>
      <w:r>
        <w:t>分期本金总额÷分期期数</w:t>
      </w:r>
      <w:r>
        <w:rPr>
          <w:spacing w:val="-94"/>
        </w:rPr>
        <w:t>，</w:t>
      </w:r>
      <w:r>
        <w:t>每期应还本</w:t>
      </w:r>
      <w:r>
        <w:rPr>
          <w:spacing w:val="-32"/>
        </w:rPr>
        <w:t>金</w:t>
      </w:r>
      <w:r>
        <w:t>（精确到分</w:t>
      </w:r>
      <w:r>
        <w:rPr>
          <w:spacing w:val="-32"/>
        </w:rPr>
        <w:t>）</w:t>
      </w:r>
      <w:r>
        <w:t>逐月计入持卡人信用卡账户</w:t>
      </w:r>
      <w:r>
        <w:rPr>
          <w:spacing w:val="-32"/>
        </w:rPr>
        <w:t>，</w:t>
      </w:r>
      <w:r>
        <w:t>余数计入最后一期。</w:t>
      </w:r>
    </w:p>
    <w:p>
      <w:pPr>
        <w:pStyle w:val="2"/>
        <w:spacing w:line="297" w:lineRule="auto"/>
        <w:ind w:right="199"/>
        <w:jc w:val="both"/>
      </w:pPr>
      <w:r>
        <w:rPr>
          <w:rFonts w:ascii="仿宋" w:hAnsi="仿宋" w:eastAsia="仿宋" w:cs="仿宋"/>
        </w:rPr>
        <w:t>4.</w:t>
      </w:r>
      <w:r>
        <w:rPr>
          <w:rFonts w:ascii="仿宋" w:hAnsi="仿宋" w:eastAsia="仿宋" w:cs="仿宋"/>
          <w:spacing w:val="2"/>
        </w:rPr>
        <w:t xml:space="preserve"> </w:t>
      </w:r>
      <w:r>
        <w:rPr>
          <w:spacing w:val="1"/>
        </w:rPr>
        <w:t>持卡人在申请账单分期成功后，当期只需在到期还款日</w:t>
      </w:r>
      <w:r>
        <w:t>前偿还扣除账单分期金额后的剩余账单金额</w:t>
      </w:r>
      <w:r>
        <w:rPr>
          <w:spacing w:val="-94"/>
        </w:rPr>
        <w:t>。</w:t>
      </w:r>
      <w:r>
        <w:t>如申请成功后持卡人未按时全部偿还当期剩余账单金额</w:t>
      </w:r>
      <w:r>
        <w:rPr>
          <w:spacing w:val="-47"/>
        </w:rPr>
        <w:t>，</w:t>
      </w:r>
      <w:r>
        <w:t>将视为未全额还款</w:t>
      </w:r>
      <w:r>
        <w:rPr>
          <w:spacing w:val="-47"/>
        </w:rPr>
        <w:t>，</w:t>
      </w:r>
      <w:r>
        <w:t>则当期账单不享受消费交易的免息还款期待遇。</w:t>
      </w:r>
    </w:p>
    <w:p>
      <w:pPr>
        <w:pStyle w:val="2"/>
        <w:spacing w:line="297" w:lineRule="auto"/>
        <w:ind w:right="199"/>
        <w:jc w:val="both"/>
      </w:pPr>
      <w:r>
        <w:rPr>
          <w:rFonts w:ascii="仿宋" w:hAnsi="仿宋" w:eastAsia="仿宋" w:cs="仿宋"/>
        </w:rPr>
        <w:t>5.</w:t>
      </w:r>
      <w:r>
        <w:rPr>
          <w:rFonts w:ascii="仿宋" w:hAnsi="仿宋" w:eastAsia="仿宋" w:cs="仿宋"/>
          <w:spacing w:val="2"/>
        </w:rPr>
        <w:t xml:space="preserve"> </w:t>
      </w:r>
      <w:r>
        <w:rPr>
          <w:spacing w:val="1"/>
        </w:rPr>
        <w:t>持卡人申请账单分期成功后，不会立即恢复全部信用额</w:t>
      </w:r>
      <w:r>
        <w:t>度</w:t>
      </w:r>
      <w:r>
        <w:rPr>
          <w:spacing w:val="-94"/>
        </w:rPr>
        <w:t>，</w:t>
      </w:r>
      <w:r>
        <w:t>被占用的信用额度将根据持卡人每月的实际还款金额逐期恢复，直至最后一期或提前清偿所有分期余额。</w:t>
      </w:r>
    </w:p>
    <w:p>
      <w:pPr>
        <w:pStyle w:val="2"/>
        <w:spacing w:line="297" w:lineRule="auto"/>
        <w:ind w:right="199"/>
        <w:jc w:val="both"/>
      </w:pPr>
      <w:r>
        <w:rPr>
          <w:rFonts w:ascii="仿宋" w:hAnsi="仿宋" w:eastAsia="仿宋" w:cs="仿宋"/>
        </w:rPr>
        <w:t>6.</w:t>
      </w:r>
      <w:r>
        <w:rPr>
          <w:rFonts w:ascii="仿宋" w:hAnsi="仿宋" w:eastAsia="仿宋" w:cs="仿宋"/>
          <w:spacing w:val="2"/>
        </w:rPr>
        <w:t xml:space="preserve"> </w:t>
      </w:r>
      <w:r>
        <w:rPr>
          <w:spacing w:val="1"/>
        </w:rPr>
        <w:t>已成功办理账单分期业务的持卡人，若按期偿还信用卡</w:t>
      </w:r>
      <w:r>
        <w:t>当期应还账款后仍有多余款项</w:t>
      </w:r>
      <w:r>
        <w:rPr>
          <w:spacing w:val="-94"/>
        </w:rPr>
        <w:t>，</w:t>
      </w:r>
      <w:r>
        <w:t>该款项不会提前清偿下期账单分期应还本金。</w:t>
      </w:r>
    </w:p>
    <w:p>
      <w:pPr>
        <w:pStyle w:val="2"/>
        <w:spacing w:before="22" w:line="297" w:lineRule="auto"/>
        <w:ind w:right="199" w:firstLine="600"/>
        <w:jc w:val="both"/>
      </w:pPr>
      <w:r>
        <w:rPr>
          <w:rFonts w:ascii="仿宋" w:hAnsi="仿宋" w:eastAsia="仿宋" w:cs="仿宋"/>
        </w:rPr>
        <w:t>7.</w:t>
      </w:r>
      <w:r>
        <w:rPr>
          <w:rFonts w:ascii="仿宋" w:hAnsi="仿宋" w:eastAsia="仿宋" w:cs="仿宋"/>
          <w:spacing w:val="2"/>
        </w:rPr>
        <w:t xml:space="preserve"> </w:t>
      </w:r>
      <w:r>
        <w:rPr>
          <w:spacing w:val="1"/>
        </w:rPr>
        <w:t>办理分期付款的信用卡挂失换卡后，将通过新卡扣款</w:t>
      </w:r>
      <w:r>
        <w:t>并通过新卡办理分期付款的查询和调整业务</w:t>
      </w:r>
      <w:r>
        <w:rPr>
          <w:spacing w:val="-94"/>
        </w:rPr>
        <w:t>。</w:t>
      </w:r>
      <w:r>
        <w:t>若持卡人需在还款期内注销信用卡</w:t>
      </w:r>
      <w:r>
        <w:rPr>
          <w:spacing w:val="-94"/>
        </w:rPr>
        <w:t>，</w:t>
      </w:r>
      <w:r>
        <w:t>则已成功办理的账单分期业务中尚未偿还的分期余额须一次性清偿</w:t>
      </w:r>
      <w:r>
        <w:rPr>
          <w:spacing w:val="-47"/>
        </w:rPr>
        <w:t>。</w:t>
      </w:r>
      <w:r>
        <w:t>若持卡人卡片即将到期</w:t>
      </w:r>
      <w:r>
        <w:rPr>
          <w:spacing w:val="-47"/>
        </w:rPr>
        <w:t>，</w:t>
      </w:r>
      <w:r>
        <w:t>持卡人有未清偿的欠款时，我行视同持卡人认可自动续卡。</w:t>
      </w:r>
    </w:p>
    <w:p>
      <w:pPr>
        <w:pStyle w:val="2"/>
        <w:spacing w:line="297" w:lineRule="auto"/>
        <w:ind w:right="119"/>
        <w:jc w:val="both"/>
      </w:pPr>
      <w:r>
        <w:rPr>
          <w:rFonts w:ascii="仿宋" w:hAnsi="仿宋" w:eastAsia="仿宋" w:cs="仿宋"/>
        </w:rPr>
        <w:t>8.</w:t>
      </w:r>
      <w:r>
        <w:rPr>
          <w:rFonts w:ascii="仿宋" w:hAnsi="仿宋" w:eastAsia="仿宋" w:cs="仿宋"/>
          <w:spacing w:val="2"/>
        </w:rPr>
        <w:t xml:space="preserve"> </w:t>
      </w:r>
      <w:r>
        <w:rPr>
          <w:spacing w:val="1"/>
        </w:rPr>
        <w:t>若持卡人要对已成功办理的账单分期业务交易提前清偿</w:t>
      </w:r>
      <w:r>
        <w:t>未偿还的分期款项</w:t>
      </w:r>
      <w:r>
        <w:rPr>
          <w:spacing w:val="-47"/>
        </w:rPr>
        <w:t>，</w:t>
      </w:r>
      <w:r>
        <w:t>须向本行申请</w:t>
      </w:r>
      <w:r>
        <w:rPr>
          <w:spacing w:val="-47"/>
        </w:rPr>
        <w:t>，</w:t>
      </w:r>
      <w:r>
        <w:t>申请通过后须一次性还清未偿还的分期款项，已收取的分期手续费不予退还。</w:t>
      </w:r>
    </w:p>
    <w:p>
      <w:pPr>
        <w:pStyle w:val="2"/>
        <w:spacing w:line="297" w:lineRule="auto"/>
        <w:ind w:right="118"/>
        <w:jc w:val="both"/>
      </w:pPr>
      <w:r>
        <w:rPr>
          <w:rFonts w:ascii="仿宋" w:hAnsi="仿宋" w:eastAsia="仿宋" w:cs="仿宋"/>
        </w:rPr>
        <w:t>9.</w:t>
      </w:r>
      <w:r>
        <w:rPr>
          <w:rFonts w:ascii="仿宋" w:hAnsi="仿宋" w:eastAsia="仿宋" w:cs="仿宋"/>
          <w:spacing w:val="2"/>
        </w:rPr>
        <w:t xml:space="preserve"> </w:t>
      </w:r>
      <w:r>
        <w:rPr>
          <w:spacing w:val="1"/>
        </w:rPr>
        <w:t>持卡人对已出账单中的消费交易进行退货处理时，已办</w:t>
      </w:r>
      <w:r>
        <w:t>理成功的账单分期业务不受影响，</w:t>
      </w:r>
      <w:r>
        <w:rPr>
          <w:rFonts w:hint="eastAsia"/>
          <w:lang w:val="en-US" w:eastAsia="zh-CN"/>
        </w:rPr>
        <w:t>持卡人应继续履行还款义务</w:t>
      </w:r>
      <w:r>
        <w:t>。</w:t>
      </w:r>
    </w:p>
    <w:p>
      <w:pPr>
        <w:pStyle w:val="4"/>
        <w:spacing w:line="449" w:lineRule="exact"/>
        <w:ind w:right="0"/>
        <w:jc w:val="left"/>
        <w:rPr>
          <w:b w:val="0"/>
          <w:bCs w:val="0"/>
        </w:rPr>
      </w:pPr>
      <w:r>
        <w:t xml:space="preserve">第四条 </w:t>
      </w:r>
      <w:r>
        <w:rPr>
          <w:spacing w:val="1"/>
        </w:rPr>
        <w:t xml:space="preserve"> </w:t>
      </w:r>
      <w:r>
        <w:t>违约责任</w:t>
      </w:r>
    </w:p>
    <w:p>
      <w:pPr>
        <w:pStyle w:val="2"/>
        <w:spacing w:before="59" w:line="297" w:lineRule="auto"/>
        <w:ind w:right="119"/>
        <w:jc w:val="both"/>
      </w:pPr>
      <w:r>
        <w:t>如发生以下情形之一</w:t>
      </w:r>
      <w:r>
        <w:rPr>
          <w:spacing w:val="-94"/>
        </w:rPr>
        <w:t>，</w:t>
      </w:r>
      <w:r>
        <w:t>本行认定持卡人的账户不再适合进行账单分期业务时</w:t>
      </w:r>
      <w:r>
        <w:rPr>
          <w:spacing w:val="-94"/>
        </w:rPr>
        <w:t>，</w:t>
      </w:r>
      <w:r>
        <w:t>持卡人的未付剩余分期金额及其他相应费用全部视为到期</w:t>
      </w:r>
      <w:r>
        <w:rPr>
          <w:spacing w:val="-47"/>
        </w:rPr>
        <w:t>，</w:t>
      </w:r>
      <w:r>
        <w:t>本行有权在无需通知持卡人的情况下</w:t>
      </w:r>
      <w:r>
        <w:rPr>
          <w:spacing w:val="-47"/>
        </w:rPr>
        <w:t>，</w:t>
      </w:r>
      <w:r>
        <w:t>要求持卡人一次性偿还剩余分期金额及其他相应费用</w:t>
      </w:r>
      <w:r>
        <w:rPr>
          <w:spacing w:val="-94"/>
        </w:rPr>
        <w:t>，</w:t>
      </w:r>
      <w:r>
        <w:t>已收取的分期手续费不予退还。</w:t>
      </w:r>
    </w:p>
    <w:p>
      <w:pPr>
        <w:pStyle w:val="2"/>
        <w:spacing w:line="297" w:lineRule="auto"/>
        <w:ind w:right="119"/>
        <w:jc w:val="both"/>
      </w:pPr>
      <w:r>
        <w:rPr>
          <w:rFonts w:ascii="仿宋" w:hAnsi="仿宋" w:eastAsia="仿宋" w:cs="仿宋"/>
        </w:rPr>
        <w:t>1.</w:t>
      </w:r>
      <w:r>
        <w:t>持卡人在分期申请及还款期间有舞弊</w:t>
      </w:r>
      <w:r>
        <w:rPr>
          <w:spacing w:val="-94"/>
        </w:rPr>
        <w:t>、</w:t>
      </w:r>
      <w:r>
        <w:t>欺诈或非真实交易的情形；</w:t>
      </w:r>
    </w:p>
    <w:p>
      <w:pPr>
        <w:pStyle w:val="2"/>
        <w:spacing w:line="297" w:lineRule="auto"/>
        <w:ind w:right="117"/>
        <w:jc w:val="both"/>
      </w:pPr>
      <w:r>
        <w:rPr>
          <w:rFonts w:ascii="仿宋" w:hAnsi="仿宋" w:eastAsia="仿宋" w:cs="仿宋"/>
        </w:rPr>
        <w:t>2.</w:t>
      </w:r>
      <w:r>
        <w:t>信用卡由于被取消</w:t>
      </w:r>
      <w:r>
        <w:rPr>
          <w:spacing w:val="-32"/>
        </w:rPr>
        <w:t>、</w:t>
      </w:r>
      <w:r>
        <w:t>管制</w:t>
      </w:r>
      <w:r>
        <w:rPr>
          <w:spacing w:val="-32"/>
        </w:rPr>
        <w:t>、</w:t>
      </w:r>
      <w:r>
        <w:t>终止</w:t>
      </w:r>
      <w:r>
        <w:rPr>
          <w:spacing w:val="-32"/>
        </w:rPr>
        <w:t>、</w:t>
      </w:r>
      <w:r>
        <w:t>已经过期并不被续期等原因变为不正常状态；</w:t>
      </w:r>
    </w:p>
    <w:p>
      <w:pPr>
        <w:pStyle w:val="2"/>
        <w:spacing w:line="240" w:lineRule="auto"/>
        <w:ind w:left="720" w:right="0" w:firstLine="0"/>
        <w:jc w:val="left"/>
      </w:pPr>
      <w:r>
        <w:rPr>
          <w:rFonts w:ascii="仿宋" w:hAnsi="仿宋" w:eastAsia="仿宋" w:cs="仿宋"/>
        </w:rPr>
        <w:t>3.</w:t>
      </w:r>
      <w:r>
        <w:t>持卡人缴款延滞，信用卡账户连续逾期</w:t>
      </w:r>
      <w:r>
        <w:rPr>
          <w:rFonts w:ascii="仿宋" w:hAnsi="仿宋" w:eastAsia="仿宋" w:cs="仿宋"/>
        </w:rPr>
        <w:t>3</w:t>
      </w:r>
      <w:r>
        <w:t>期或以上；</w:t>
      </w:r>
    </w:p>
    <w:p>
      <w:pPr>
        <w:pStyle w:val="2"/>
        <w:spacing w:before="93" w:line="297" w:lineRule="auto"/>
        <w:ind w:right="117"/>
        <w:jc w:val="both"/>
      </w:pPr>
      <w:r>
        <w:rPr>
          <w:rFonts w:ascii="仿宋" w:hAnsi="仿宋" w:eastAsia="仿宋" w:cs="仿宋"/>
        </w:rPr>
        <w:t>4.</w:t>
      </w:r>
      <w:r>
        <w:t>持卡人已经破产或身</w:t>
      </w:r>
      <w:r>
        <w:rPr>
          <w:spacing w:val="-47"/>
        </w:rPr>
        <w:t>故；</w:t>
      </w:r>
      <w:r>
        <w:t>本行根据相关风险政策认定持卡人资信状况发生恶化</w:t>
      </w:r>
      <w:r>
        <w:rPr>
          <w:spacing w:val="-32"/>
        </w:rPr>
        <w:t>，</w:t>
      </w:r>
      <w:r>
        <w:t>出现不能履行债务</w:t>
      </w:r>
      <w:r>
        <w:rPr>
          <w:spacing w:val="-32"/>
        </w:rPr>
        <w:t>、</w:t>
      </w:r>
      <w:r>
        <w:t>严重逾期</w:t>
      </w:r>
      <w:r>
        <w:rPr>
          <w:spacing w:val="-32"/>
        </w:rPr>
        <w:t>、</w:t>
      </w:r>
      <w:r>
        <w:t>欺诈或我行认定的其他高风险情况；</w:t>
      </w:r>
    </w:p>
    <w:p>
      <w:pPr>
        <w:pStyle w:val="2"/>
        <w:spacing w:line="297" w:lineRule="auto"/>
        <w:ind w:right="119"/>
        <w:jc w:val="both"/>
      </w:pPr>
      <w:r>
        <w:rPr>
          <w:rFonts w:ascii="仿宋" w:hAnsi="仿宋" w:eastAsia="仿宋" w:cs="仿宋"/>
        </w:rPr>
        <w:t>5.</w:t>
      </w:r>
      <w:r>
        <w:t>持卡人违反了本行信用卡领用合约</w:t>
      </w:r>
      <w:r>
        <w:rPr>
          <w:spacing w:val="-47"/>
        </w:rPr>
        <w:t>、</w:t>
      </w:r>
      <w:r>
        <w:t>信用卡章程</w:t>
      </w:r>
      <w:r>
        <w:rPr>
          <w:spacing w:val="-47"/>
        </w:rPr>
        <w:t>、</w:t>
      </w:r>
      <w:r>
        <w:t>本条款及细则中的任何规定或本行信用卡业务相关规定等</w:t>
      </w:r>
      <w:r>
        <w:rPr>
          <w:rFonts w:hint="eastAsia"/>
          <w:lang w:eastAsia="zh-CN"/>
        </w:rPr>
        <w:t>。</w:t>
      </w:r>
    </w:p>
    <w:p>
      <w:pPr>
        <w:pStyle w:val="4"/>
        <w:spacing w:line="449" w:lineRule="exact"/>
        <w:ind w:right="0"/>
        <w:jc w:val="left"/>
        <w:rPr>
          <w:b w:val="0"/>
          <w:bCs w:val="0"/>
        </w:rPr>
      </w:pPr>
      <w:r>
        <w:t xml:space="preserve">第五条 </w:t>
      </w:r>
      <w:r>
        <w:rPr>
          <w:spacing w:val="1"/>
        </w:rPr>
        <w:t xml:space="preserve"> </w:t>
      </w:r>
      <w:r>
        <w:t>其他</w:t>
      </w:r>
    </w:p>
    <w:p>
      <w:pPr>
        <w:pStyle w:val="2"/>
        <w:spacing w:before="59" w:line="297" w:lineRule="auto"/>
        <w:ind w:right="118"/>
        <w:jc w:val="both"/>
      </w:pPr>
      <w:r>
        <w:rPr>
          <w:rFonts w:ascii="仿宋" w:hAnsi="仿宋" w:eastAsia="仿宋" w:cs="仿宋"/>
        </w:rPr>
        <w:t>1.</w:t>
      </w:r>
      <w:r>
        <w:rPr>
          <w:rFonts w:ascii="仿宋" w:hAnsi="仿宋" w:eastAsia="仿宋" w:cs="仿宋"/>
          <w:spacing w:val="2"/>
        </w:rPr>
        <w:t xml:space="preserve"> </w:t>
      </w:r>
      <w:r>
        <w:rPr>
          <w:spacing w:val="1"/>
        </w:rPr>
        <w:t>持卡人声明已详尽阅读并完全知晓和承诺遵守本条款及</w:t>
      </w:r>
      <w:r>
        <w:t>细则，</w:t>
      </w:r>
      <w:r>
        <w:rPr>
          <w:rFonts w:hint="eastAsia"/>
          <w:lang w:val="en-US" w:eastAsia="zh-CN"/>
        </w:rPr>
        <w:t>包括在银行合理提请下已注意其中免除或减轻银行责任等与持卡人有重大利害关系的条款，</w:t>
      </w:r>
      <w:r>
        <w:t>本条款及细则为本行信用卡领用合约的附加条款。</w:t>
      </w:r>
    </w:p>
    <w:p>
      <w:pPr>
        <w:pStyle w:val="2"/>
        <w:spacing w:before="0" w:line="297" w:lineRule="auto"/>
        <w:ind w:left="0" w:right="119" w:firstLine="0"/>
        <w:jc w:val="both"/>
      </w:pPr>
      <w:r>
        <w:rPr>
          <w:rFonts w:hint="eastAsia"/>
          <w:lang w:val="en-US" w:eastAsia="zh-CN"/>
        </w:rPr>
        <w:t xml:space="preserve">     </w:t>
      </w:r>
      <w:r>
        <w:rPr>
          <w:rFonts w:ascii="仿宋" w:hAnsi="仿宋" w:eastAsia="仿宋" w:cs="仿宋"/>
        </w:rPr>
        <w:t>2.</w:t>
      </w:r>
      <w:r>
        <w:rPr>
          <w:rFonts w:ascii="仿宋" w:hAnsi="仿宋" w:eastAsia="仿宋" w:cs="仿宋"/>
          <w:spacing w:val="15"/>
        </w:rPr>
        <w:t xml:space="preserve"> </w:t>
      </w:r>
      <w:r>
        <w:rPr>
          <w:spacing w:val="14"/>
        </w:rPr>
        <w:t>本业务条款及细则未尽事项依据《长安银行信用卡章</w:t>
      </w:r>
      <w:r>
        <w:rPr>
          <w:spacing w:val="2"/>
        </w:rPr>
        <w:t>程</w:t>
      </w:r>
      <w:r>
        <w:rPr>
          <w:spacing w:val="-148"/>
        </w:rPr>
        <w:t>》、</w:t>
      </w:r>
      <w:r>
        <w:rPr>
          <w:spacing w:val="2"/>
        </w:rPr>
        <w:t>《</w:t>
      </w:r>
      <w:r>
        <w:rPr>
          <w:spacing w:val="1"/>
        </w:rPr>
        <w:t>长</w:t>
      </w:r>
      <w:r>
        <w:rPr>
          <w:spacing w:val="2"/>
        </w:rPr>
        <w:t>安银</w:t>
      </w:r>
      <w:r>
        <w:rPr>
          <w:spacing w:val="1"/>
        </w:rPr>
        <w:t>行</w:t>
      </w:r>
      <w:r>
        <w:rPr>
          <w:spacing w:val="2"/>
        </w:rPr>
        <w:t>信用</w:t>
      </w:r>
      <w:r>
        <w:rPr>
          <w:spacing w:val="1"/>
        </w:rPr>
        <w:t>卡</w:t>
      </w:r>
      <w:r>
        <w:rPr>
          <w:spacing w:val="2"/>
        </w:rPr>
        <w:t>领用</w:t>
      </w:r>
      <w:r>
        <w:rPr>
          <w:spacing w:val="1"/>
        </w:rPr>
        <w:t>合</w:t>
      </w:r>
      <w:r>
        <w:rPr>
          <w:spacing w:val="2"/>
        </w:rPr>
        <w:t>约</w:t>
      </w:r>
      <w:r>
        <w:rPr>
          <w:spacing w:val="-148"/>
        </w:rPr>
        <w:t>》</w:t>
      </w:r>
      <w:r>
        <w:rPr>
          <w:spacing w:val="2"/>
        </w:rPr>
        <w:t>、</w:t>
      </w:r>
      <w:r>
        <w:rPr>
          <w:spacing w:val="1"/>
        </w:rPr>
        <w:t>银</w:t>
      </w:r>
      <w:r>
        <w:rPr>
          <w:spacing w:val="2"/>
        </w:rPr>
        <w:t>行业</w:t>
      </w:r>
      <w:r>
        <w:rPr>
          <w:spacing w:val="1"/>
        </w:rPr>
        <w:t>务</w:t>
      </w:r>
      <w:r>
        <w:rPr>
          <w:spacing w:val="2"/>
        </w:rPr>
        <w:t>规定</w:t>
      </w:r>
      <w:r>
        <w:rPr>
          <w:spacing w:val="1"/>
        </w:rPr>
        <w:t>及</w:t>
      </w:r>
      <w:r>
        <w:rPr>
          <w:spacing w:val="2"/>
        </w:rPr>
        <w:t>金融</w:t>
      </w:r>
      <w:r>
        <w:rPr>
          <w:spacing w:val="1"/>
        </w:rPr>
        <w:t>惯</w:t>
      </w:r>
      <w:r>
        <w:rPr>
          <w:spacing w:val="2"/>
        </w:rPr>
        <w:t>例</w:t>
      </w:r>
      <w:r>
        <w:t>有关规定处理。</w:t>
      </w:r>
    </w:p>
    <w:p>
      <w:pPr>
        <w:pStyle w:val="2"/>
        <w:spacing w:line="297" w:lineRule="auto"/>
        <w:ind w:right="117"/>
        <w:jc w:val="both"/>
      </w:pPr>
      <w:r>
        <w:rPr>
          <w:rFonts w:ascii="仿宋" w:hAnsi="仿宋" w:eastAsia="仿宋" w:cs="仿宋"/>
        </w:rPr>
        <w:t>3.</w:t>
      </w:r>
      <w:r>
        <w:rPr>
          <w:rFonts w:ascii="仿宋" w:hAnsi="仿宋" w:eastAsia="仿宋" w:cs="仿宋"/>
          <w:spacing w:val="2"/>
        </w:rPr>
        <w:t xml:space="preserve"> </w:t>
      </w:r>
      <w:r>
        <w:rPr>
          <w:spacing w:val="1"/>
        </w:rPr>
        <w:t>本行有权依据法律、法规、规章或业务需要对分期业务</w:t>
      </w:r>
      <w:r>
        <w:t>服务的内容</w:t>
      </w:r>
      <w:r>
        <w:rPr>
          <w:spacing w:val="-32"/>
        </w:rPr>
        <w:t>、</w:t>
      </w:r>
      <w:r>
        <w:t>操作流程</w:t>
      </w:r>
      <w:r>
        <w:rPr>
          <w:spacing w:val="-32"/>
        </w:rPr>
        <w:t>、</w:t>
      </w:r>
      <w:r>
        <w:t>业务条款或收费标准等进行调整</w:t>
      </w:r>
      <w:r>
        <w:rPr>
          <w:spacing w:val="-32"/>
        </w:rPr>
        <w:t>，</w:t>
      </w:r>
      <w:r>
        <w:t>保留延迟或提前终止本业务的权利</w:t>
      </w:r>
      <w:r>
        <w:rPr>
          <w:spacing w:val="-32"/>
        </w:rPr>
        <w:t>，</w:t>
      </w:r>
      <w:r>
        <w:t>并在通过网站</w:t>
      </w:r>
      <w:r>
        <w:rPr>
          <w:spacing w:val="-32"/>
        </w:rPr>
        <w:t>、</w:t>
      </w:r>
      <w:r>
        <w:t>对账单</w:t>
      </w:r>
      <w:r>
        <w:rPr>
          <w:spacing w:val="-32"/>
        </w:rPr>
        <w:t>、</w:t>
      </w:r>
      <w:r>
        <w:t>短信等方式向持卡人公布后生效。</w:t>
      </w:r>
    </w:p>
    <w:sectPr>
      <w:pgSz w:w="11910" w:h="16840"/>
      <w:pgMar w:top="1380" w:right="1680" w:bottom="1160" w:left="1680" w:header="0" w:footer="97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Blackoak Std">
    <w:altName w:val="Microsoft YaHei UI"/>
    <w:panose1 w:val="00000000000000000000"/>
    <w:charset w:val="00"/>
    <w:family w:val="auto"/>
    <w:pitch w:val="default"/>
    <w:sig w:usb0="00000000" w:usb1="00000000" w:usb2="00000000" w:usb3="00000000" w:csb0="00040001" w:csb1="00000000"/>
  </w:font>
  <w:font w:name="Microsoft YaHei UI">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before="0" w:after="0" w:line="14" w:lineRule="auto"/>
      <w:rPr>
        <w:sz w:val="20"/>
        <w:szCs w:val="20"/>
      </w:rPr>
    </w:pPr>
    <w:r>
      <w:rPr>
        <w:rFonts w:ascii="Times New Roman" w:hAnsi="Times New Roman" w:eastAsia="宋体" w:cs="Times New Roman"/>
        <w:sz w:val="22"/>
        <w:szCs w:val="22"/>
        <w:lang w:val="en-US" w:eastAsia="en-US" w:bidi="ar-SA"/>
      </w:rPr>
      <w:pict>
        <v:shape id="文本框 1025" o:spid="_x0000_s1025" type="#_x0000_t202" style="position:absolute;left:0;margin-left:293.4pt;margin-top:782.1pt;height:11pt;width:8.5pt;mso-position-horizontal-relative:page;mso-position-vertical-relative:pag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0" w:line="204" w:lineRule="exact"/>
                  <w:ind w:left="40" w:right="0" w:firstLine="0"/>
                  <w:jc w:val="left"/>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1"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1"/>
    <w:pPr>
      <w:widowControl w:val="0"/>
      <w:spacing w:after="0" w:line="240" w:lineRule="auto"/>
    </w:pPr>
    <w:rPr>
      <w:rFonts w:ascii="Times New Roman" w:hAnsi="Times New Roman" w:eastAsia="宋体" w:cs="Times New Roman"/>
      <w:sz w:val="22"/>
      <w:szCs w:val="22"/>
      <w:lang w:val="en-US" w:eastAsia="en-US" w:bidi="ar-SA"/>
    </w:rPr>
  </w:style>
  <w:style w:type="character" w:default="1" w:styleId="3">
    <w:name w:val="Default Paragraph Font"/>
    <w:semiHidden/>
    <w:unhideWhenUsed/>
    <w:uiPriority w:val="1"/>
  </w:style>
  <w:style w:type="paragraph" w:styleId="2">
    <w:name w:val="Body Text"/>
    <w:basedOn w:val="1"/>
    <w:qFormat/>
    <w:uiPriority w:val="1"/>
    <w:pPr>
      <w:spacing w:before="22"/>
      <w:ind w:left="120" w:firstLine="600"/>
    </w:pPr>
    <w:rPr>
      <w:rFonts w:ascii="仿宋" w:hAnsi="仿宋" w:eastAsia="仿宋"/>
      <w:sz w:val="30"/>
      <w:szCs w:val="30"/>
    </w:rPr>
  </w:style>
  <w:style w:type="paragraph" w:customStyle="1" w:styleId="4">
    <w:name w:val="Heading 1"/>
    <w:basedOn w:val="1"/>
    <w:qFormat/>
    <w:uiPriority w:val="1"/>
    <w:pPr>
      <w:ind w:left="720"/>
      <w:outlineLvl w:val="1"/>
    </w:pPr>
    <w:rPr>
      <w:rFonts w:ascii="Microsoft JhengHei" w:hAnsi="Microsoft JhengHei" w:eastAsia="Microsoft JhengHei"/>
      <w:b/>
      <w:bCs/>
      <w:sz w:val="30"/>
      <w:szCs w:val="30"/>
    </w:rPr>
  </w:style>
  <w:style w:type="paragraph" w:customStyle="1" w:styleId="5">
    <w:name w:val="List Paragraph"/>
    <w:basedOn w:val="1"/>
    <w:qFormat/>
    <w:uiPriority w:val="1"/>
  </w:style>
  <w:style w:type="paragraph" w:customStyle="1" w:styleId="6">
    <w:name w:val="Table Paragraph"/>
    <w:basedOn w:val="1"/>
    <w:qFormat/>
    <w:uiPriority w:val="1"/>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oleObject" Target="embeddings/oleObject1.bin"/><Relationship Id="rId7" Type="http://schemas.openxmlformats.org/officeDocument/2006/relationships/image" Target="media/image1.wmf"/><Relationship Id="rId8" Type="http://schemas.openxmlformats.org/officeDocument/2006/relationships/oleObject" Target="embeddings/oleObject2.bin"/><Relationship Id="rId9"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0</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2020-12-16T09:25:00Z</dcterms:created>
  <dc:creator>dell</dc:creator>
  <cp:lastModifiedBy>刘艮萍</cp:lastModifiedBy>
  <dcterms:modified xsi:type="dcterms:W3CDTF">2021-07-14T01:14:31Z</dcterms:modified>
  <dc:title>长安银行公务卡账单分期付款业务细则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2012-06-06T00:00:00Z</vt:filetime>
  </property>
  <property fmtid="{D5CDD505-2E9C-101B-9397-08002B2CF9AE}" pid="3" name="LastSaved">
    <vt:filetime>2020-12-16T00:00:00Z</vt:filetime>
  </property>
  <property fmtid="{D5CDD505-2E9C-101B-9397-08002B2CF9AE}" pid="4" name="KSOProductBuildVer">
    <vt:lpwstr>2052-9.1.0.4337</vt:lpwstr>
  </property>
</Properties>
</file>