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Default ContentType="application/vnd.openxmlformats-officedocument.oleObject" Extension="bin"/>
  <Override ContentType="application/vnd.openxmlformats-officedocument.wordprocessingml.fontTable+xml" PartName="/word/fontTable.xml"/>
  <Default ContentType="image/x-wmf" Extension="wmf"/>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firstLine="1050" w:firstLineChars="350"/>
        <w:jc w:val="center"/>
        <w:rPr>
          <w:sz w:val="30"/>
          <w:szCs w:val="30"/>
          <w:shd w:val="pct10" w:color="auto" w:fill="FFFFFF"/>
        </w:rPr>
      </w:pPr>
    </w:p>
    <w:p>
      <w:pPr>
        <w:jc w:val="center"/>
        <w:rPr>
          <w:rFonts w:ascii="华文中宋" w:hAnsi="华文中宋" w:eastAsia="华文中宋" w:cs="华文中宋"/>
          <w:sz w:val="36"/>
          <w:szCs w:val="36"/>
        </w:rPr>
      </w:pPr>
      <w:r>
        <w:rPr>
          <w:rFonts w:hint="eastAsia" w:ascii="华文中宋" w:hAnsi="华文中宋" w:eastAsia="华文中宋" w:cs="华文中宋"/>
          <w:sz w:val="36"/>
          <w:szCs w:val="36"/>
        </w:rPr>
        <w:t>长安银行京东金融自动分期联名信用卡</w:t>
      </w:r>
    </w:p>
    <w:p>
      <w:pPr>
        <w:jc w:val="center"/>
        <w:rPr>
          <w:rFonts w:ascii="华文中宋" w:hAnsi="华文中宋" w:eastAsia="华文中宋" w:cs="华文中宋"/>
          <w:sz w:val="36"/>
          <w:szCs w:val="36"/>
        </w:rPr>
      </w:pPr>
      <w:r>
        <w:rPr>
          <w:rFonts w:hint="eastAsia" w:ascii="华文中宋" w:hAnsi="华文中宋" w:eastAsia="华文中宋" w:cs="华文中宋"/>
          <w:sz w:val="36"/>
          <w:szCs w:val="36"/>
        </w:rPr>
        <w:t>自动分期付款业务细则</w:t>
      </w:r>
    </w:p>
    <w:p>
      <w:pPr>
        <w:rPr>
          <w:rFonts w:ascii="仿宋" w:hAnsi="仿宋" w:eastAsia="仿宋" w:cs="仿宋"/>
          <w:sz w:val="30"/>
          <w:szCs w:val="30"/>
        </w:rPr>
      </w:pPr>
    </w:p>
    <w:p>
      <w:pPr>
        <w:ind w:firstLine="600" w:firstLineChars="200"/>
        <w:rPr>
          <w:rFonts w:ascii="仿宋" w:hAnsi="仿宋" w:eastAsia="仿宋" w:cs="仿宋"/>
          <w:sz w:val="30"/>
          <w:szCs w:val="30"/>
        </w:rPr>
      </w:pPr>
      <w:r>
        <w:rPr>
          <w:rFonts w:hint="eastAsia" w:ascii="仿宋" w:hAnsi="仿宋" w:eastAsia="仿宋" w:cs="仿宋"/>
          <w:sz w:val="30"/>
          <w:szCs w:val="30"/>
        </w:rPr>
        <w:t>长安银行京东金融自动分期付款业务（下称“自动分期”）是长安银行（下称“本行”）为长安银行京东金融自动分期联名信用卡（下称“</w:t>
      </w:r>
      <w:bookmarkStart w:id="0" w:name="_Hlk49159593"/>
      <w:r>
        <w:rPr>
          <w:rFonts w:hint="eastAsia" w:ascii="仿宋" w:hAnsi="仿宋" w:eastAsia="仿宋" w:cs="仿宋"/>
          <w:sz w:val="30"/>
          <w:szCs w:val="30"/>
        </w:rPr>
        <w:t>京东自动分期卡</w:t>
      </w:r>
      <w:bookmarkEnd w:id="0"/>
      <w:r>
        <w:rPr>
          <w:rFonts w:hint="eastAsia" w:ascii="仿宋" w:hAnsi="仿宋" w:eastAsia="仿宋" w:cs="仿宋"/>
          <w:sz w:val="30"/>
          <w:szCs w:val="30"/>
        </w:rPr>
        <w:t>”）持卡人提供的当信用卡账单金额中的可分期金额超过起分金额时自动为持卡人办理指定期数账单分期的分期付款服务。如持卡人同意申请本行京东自动分期卡，即表示其已阅读</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知晓、清楚本细则内容</w:t>
      </w:r>
      <w:r>
        <w:rPr>
          <w:rFonts w:hint="eastAsia" w:ascii="仿宋" w:hAnsi="仿宋" w:eastAsia="仿宋" w:cs="仿宋"/>
          <w:sz w:val="30"/>
          <w:szCs w:val="30"/>
        </w:rPr>
        <w:t>并同意遵守本细则。</w:t>
      </w:r>
    </w:p>
    <w:p>
      <w:pPr>
        <w:ind w:firstLine="600" w:firstLineChars="200"/>
        <w:rPr>
          <w:rFonts w:ascii="仿宋" w:hAnsi="仿宋" w:eastAsia="仿宋" w:cs="仿宋"/>
          <w:sz w:val="30"/>
          <w:szCs w:val="30"/>
        </w:rPr>
      </w:pPr>
      <w:r>
        <w:rPr>
          <w:rFonts w:hint="eastAsia" w:ascii="仿宋" w:hAnsi="仿宋" w:eastAsia="仿宋" w:cs="仿宋"/>
          <w:sz w:val="30"/>
          <w:szCs w:val="30"/>
        </w:rPr>
        <w:t>1、</w:t>
      </w:r>
      <w:r>
        <w:rPr>
          <w:rFonts w:hint="eastAsia" w:ascii="仿宋" w:hAnsi="仿宋" w:eastAsia="仿宋" w:cs="仿宋"/>
          <w:b/>
          <w:bCs/>
          <w:sz w:val="30"/>
          <w:szCs w:val="30"/>
        </w:rPr>
        <w:t>持卡人向本行申请京东自动分期卡，即表示其同意开通自动分期业务，并授权本行在约定起止时间内对达到或超过分期起点金额的信用卡账单金额（即当期“新增消费”与“新增预借现金”的未还金额汇总超过免分期额度、且大于分期起分金额24元时），按照约定的默认期数自动进行分期（</w:t>
      </w:r>
      <w:r>
        <w:rPr>
          <w:rFonts w:hint="eastAsia" w:ascii="仿宋" w:hAnsi="仿宋" w:eastAsia="仿宋" w:cs="仿宋"/>
          <w:b/>
          <w:bCs/>
          <w:sz w:val="30"/>
          <w:szCs w:val="30"/>
          <w:lang w:val="en-US" w:eastAsia="zh-CN"/>
        </w:rPr>
        <w:t>已分期金额</w:t>
      </w:r>
      <w:r>
        <w:rPr>
          <w:rFonts w:hint="eastAsia" w:ascii="仿宋" w:hAnsi="仿宋" w:eastAsia="仿宋" w:cs="仿宋"/>
          <w:b/>
          <w:bCs/>
          <w:sz w:val="30"/>
          <w:szCs w:val="30"/>
        </w:rPr>
        <w:t>、手续费、违约金、利息、其他费用等不可进行自动分期），且持卡人同意从当期账单日起按月分期偿还对应的本金与手续费。</w:t>
      </w:r>
    </w:p>
    <w:p>
      <w:pPr>
        <w:rPr>
          <w:rFonts w:ascii="仿宋" w:hAnsi="仿宋" w:eastAsia="仿宋" w:cs="仿宋"/>
          <w:sz w:val="30"/>
          <w:szCs w:val="30"/>
        </w:rPr>
      </w:pPr>
      <w:r>
        <w:rPr>
          <w:rFonts w:hint="eastAsia" w:ascii="仿宋" w:hAnsi="仿宋" w:eastAsia="仿宋" w:cs="仿宋"/>
          <w:sz w:val="30"/>
          <w:szCs w:val="30"/>
        </w:rPr>
        <w:t xml:space="preserve">    2、自动分期仅限于人民币交易，如持卡人当期账单中的可分期金额未超过自动分期金额，则不会进行自动分期。</w:t>
      </w:r>
    </w:p>
    <w:p>
      <w:pPr>
        <w:numPr>
          <w:ilvl w:val="0"/>
          <w:numId w:val="1"/>
        </w:numPr>
        <w:ind w:firstLine="600" w:firstLineChars="200"/>
        <w:rPr>
          <w:rFonts w:ascii="仿宋" w:hAnsi="仿宋" w:eastAsia="仿宋" w:cs="仿宋"/>
          <w:sz w:val="30"/>
          <w:szCs w:val="30"/>
        </w:rPr>
      </w:pPr>
      <w:r>
        <w:rPr>
          <w:rFonts w:hint="eastAsia" w:ascii="仿宋" w:hAnsi="仿宋" w:eastAsia="仿宋" w:cs="仿宋"/>
          <w:sz w:val="30"/>
          <w:szCs w:val="30"/>
        </w:rPr>
        <w:t>本行京东自动分期联名卡信用额度包括免分期额度和分期额度。</w:t>
      </w:r>
      <w:r>
        <w:rPr>
          <w:rFonts w:hint="eastAsia" w:ascii="仿宋" w:hAnsi="仿宋" w:eastAsia="仿宋" w:cs="仿宋"/>
          <w:b/>
          <w:bCs/>
          <w:sz w:val="30"/>
          <w:szCs w:val="30"/>
        </w:rPr>
        <w:t>免分期额度是指卡片内循环信用额度，该额度内的消费类交易可享受免息期待遇。分期额度是指卡片内的自动分期额度。</w:t>
      </w:r>
      <w:r>
        <w:rPr>
          <w:rFonts w:hint="eastAsia" w:ascii="仿宋" w:hAnsi="仿宋" w:eastAsia="仿宋" w:cs="仿宋"/>
          <w:sz w:val="30"/>
          <w:szCs w:val="30"/>
        </w:rPr>
        <w:t>分期额度是免分期额度的补充，也是卡片的可用额度部分。</w:t>
      </w:r>
      <w:r>
        <w:rPr>
          <w:rFonts w:hint="eastAsia" w:ascii="仿宋" w:hAnsi="仿宋" w:eastAsia="仿宋" w:cs="仿宋"/>
          <w:b/>
          <w:bCs/>
          <w:sz w:val="30"/>
          <w:szCs w:val="30"/>
        </w:rPr>
        <w:t>免分期额度和分期额度以本行审核结果为准。</w:t>
      </w:r>
    </w:p>
    <w:p>
      <w:pPr>
        <w:numPr>
          <w:ilvl w:val="0"/>
          <w:numId w:val="1"/>
        </w:numPr>
        <w:ind w:firstLine="602" w:firstLineChars="200"/>
        <w:rPr>
          <w:rFonts w:ascii="仿宋" w:hAnsi="仿宋" w:eastAsia="仿宋" w:cs="仿宋"/>
          <w:sz w:val="30"/>
          <w:szCs w:val="30"/>
        </w:rPr>
      </w:pPr>
      <w:r>
        <w:rPr>
          <w:rFonts w:hint="eastAsia" w:ascii="仿宋" w:hAnsi="仿宋" w:eastAsia="仿宋" w:cs="仿宋"/>
          <w:b/>
          <w:bCs/>
          <w:sz w:val="30"/>
          <w:szCs w:val="30"/>
        </w:rPr>
        <w:t>自动分期是否成功办理以本行审核结果为准。本行自动分期期限默认为12个月，自动分期起点金额下限为24元（含）。</w:t>
      </w:r>
      <w:r>
        <w:rPr>
          <w:rFonts w:hint="eastAsia" w:ascii="仿宋" w:hAnsi="仿宋" w:eastAsia="仿宋" w:cs="仿宋"/>
          <w:sz w:val="30"/>
          <w:szCs w:val="30"/>
        </w:rPr>
        <w:t>自动分期如需生效，除满足申请书申办信息外，卡片及账户应为正常状态；在自动分期起止期间内，卡片及账户也应为正常状态，方可自动分期。</w:t>
      </w:r>
    </w:p>
    <w:p>
      <w:pPr>
        <w:pStyle w:val="4"/>
        <w:spacing w:before="177" w:line="381" w:lineRule="auto"/>
        <w:ind w:left="120" w:right="199" w:firstLine="600" w:firstLineChars="0"/>
        <w:jc w:val="both"/>
        <w:rPr>
          <w:rFonts w:hint="eastAsia"/>
          <w:lang w:eastAsia="zh-CN"/>
        </w:rPr>
      </w:pPr>
      <w:r>
        <w:rPr>
          <w:rFonts w:hint="eastAsia" w:ascii="仿宋" w:hAnsi="仿宋" w:eastAsia="仿宋" w:cs="仿宋"/>
          <w:sz w:val="30"/>
          <w:szCs w:val="30"/>
          <w:lang w:val="en-US" w:eastAsia="zh-CN"/>
        </w:rPr>
        <w:t>5、</w:t>
      </w:r>
      <w:r>
        <w:rPr>
          <w:rFonts w:hint="eastAsia" w:ascii="仿宋" w:hAnsi="仿宋" w:eastAsia="仿宋" w:cs="仿宋"/>
          <w:sz w:val="30"/>
          <w:szCs w:val="30"/>
        </w:rPr>
        <w:t>自动分期手续费率同本行对外公示的信用卡账单分期费率标准一致。</w:t>
      </w:r>
      <w:r>
        <w:rPr>
          <w:rFonts w:hint="eastAsia" w:cs="仿宋"/>
          <w:sz w:val="30"/>
          <w:szCs w:val="30"/>
          <w:lang w:eastAsia="zh-CN"/>
        </w:rPr>
        <w:t>即</w:t>
      </w:r>
      <w:r>
        <w:t>每期（月）标准手续费率为</w:t>
      </w:r>
      <w:r>
        <w:rPr>
          <w:rFonts w:ascii="仿宋" w:hAnsi="仿宋" w:eastAsia="仿宋" w:cs="仿宋"/>
        </w:rPr>
        <w:t>0.6%</w:t>
      </w:r>
      <w:r>
        <w:rPr>
          <w:rFonts w:hint="eastAsia" w:cs="仿宋"/>
          <w:lang w:eastAsia="zh-CN"/>
        </w:rPr>
        <w:t>，</w:t>
      </w:r>
      <w:r>
        <w:rPr>
          <w:rFonts w:hint="eastAsia"/>
          <w:lang w:val="en-US" w:eastAsia="zh-CN"/>
        </w:rPr>
        <w:t>分期手续费率对应的近似折算年化手续费率，</w:t>
      </w:r>
      <w:r>
        <w:rPr>
          <w:rFonts w:hint="eastAsia"/>
          <w:lang w:eastAsia="zh-CN"/>
        </w:rPr>
        <w:t>是根据借款人的借款本金</w:t>
      </w:r>
      <w:r>
        <w:rPr>
          <w:rFonts w:hint="eastAsia"/>
          <w:highlight w:val="none"/>
          <w:lang w:eastAsia="zh-CN"/>
        </w:rPr>
        <w:t>、每期还款金额、贷款期数等要素，考虑复利后计算得出的年化内部收益率（</w:t>
      </w:r>
      <w:r>
        <w:rPr>
          <w:rFonts w:hint="eastAsia"/>
          <w:highlight w:val="none"/>
          <w:lang w:val="en-US" w:eastAsia="zh-CN"/>
        </w:rPr>
        <w:t>IRR</w:t>
      </w:r>
      <w:r>
        <w:rPr>
          <w:rFonts w:hint="eastAsia"/>
          <w:highlight w:val="none"/>
          <w:lang w:eastAsia="zh-CN"/>
        </w:rPr>
        <w:t>）。</w:t>
      </w:r>
      <w:r>
        <w:rPr>
          <w:rFonts w:hint="eastAsia"/>
          <w:lang w:eastAsia="zh-CN"/>
        </w:rPr>
        <w:t>其公式为：</w:t>
      </w:r>
    </w:p>
    <w:p>
      <w:pPr>
        <w:pStyle w:val="4"/>
        <w:spacing w:line="342" w:lineRule="auto"/>
        <w:ind w:left="0" w:firstLine="600" w:firstLineChars="200"/>
        <w:jc w:val="left"/>
        <w:rPr>
          <w:rFonts w:hint="eastAsia" w:ascii="仿宋" w:hAnsi="仿宋" w:eastAsia="仿宋" w:cs="Times New Roman"/>
          <w:sz w:val="30"/>
          <w:szCs w:val="30"/>
          <w:lang w:val="en-US" w:eastAsia="zh-CN" w:bidi="ar-SA"/>
        </w:rPr>
      </w:pPr>
      <w:r>
        <w:rPr>
          <w:rFonts w:hint="eastAsia" w:cs="Times New Roman"/>
          <w:sz w:val="30"/>
          <w:szCs w:val="30"/>
          <w:lang w:val="en-US" w:eastAsia="zh-CN" w:bidi="ar-SA"/>
        </w:rPr>
        <w:t xml:space="preserve">   </w:t>
      </w:r>
      <w:r>
        <w:rPr>
          <w:rFonts w:hint="eastAsia" w:ascii="仿宋" w:hAnsi="仿宋" w:eastAsia="仿宋" w:cs="Times New Roman"/>
          <w:kern w:val="2"/>
          <w:sz w:val="30"/>
          <w:szCs w:val="30"/>
          <w:lang w:val="en-US" w:eastAsia="zh-CN" w:bidi="ar-SA"/>
        </w:rPr>
        <w:object>
          <v:shape id="_x0000_s1026" type="#_x0000_t75" style="height:54.15pt;width:250.2pt;rotation:0f;" o:ole="t" fillcolor="#FFFFFF" filled="f" o:preferrelative="t" stroked="f" coordorigin="0,0" coordsize="21600,21600">
            <v:fill on="f" color2="#FFFFFF" focus="0%"/>
            <v:imagedata gain="65536f" blacklevel="0f" gamma="0" o:title="" r:id="rId6"/>
            <o:lock v:ext="edit" position="f" selection="f" grouping="f" rotation="f" cropping="f" text="f" aspectratio="f"/>
            <w10:wrap type="none"/>
            <w10:anchorlock/>
          </v:shape>
          <o:OLEObject Type="Embed" ProgID="StaticMetafile" ShapeID="_x0000_s1026" DrawAspect="Content" ObjectID="_1025" r:id="rId5"/>
        </w:object>
      </w:r>
    </w:p>
    <w:p>
      <w:pPr>
        <w:pStyle w:val="4"/>
        <w:spacing w:line="342" w:lineRule="auto"/>
        <w:ind w:left="0" w:firstLine="600" w:firstLineChars="200"/>
        <w:jc w:val="left"/>
        <w:rPr>
          <w:rFonts w:hint="eastAsia" w:ascii="仿宋" w:hAnsi="仿宋" w:eastAsia="仿宋" w:cs="Times New Roman"/>
          <w:sz w:val="30"/>
          <w:szCs w:val="30"/>
          <w:lang w:val="en-US" w:eastAsia="zh-CN" w:bidi="ar-SA"/>
        </w:rPr>
      </w:pPr>
      <w:r>
        <w:rPr>
          <w:rFonts w:hint="eastAsia" w:cs="Times New Roman"/>
          <w:sz w:val="30"/>
          <w:szCs w:val="30"/>
          <w:lang w:val="en-US" w:eastAsia="zh-CN" w:bidi="ar-SA"/>
        </w:rPr>
        <w:t>其中，n为年内还款频率（例如，每月还款一次为12），T为还款年数，由此计算得出的IRR即为年化利率。</w:t>
      </w:r>
    </w:p>
    <w:p>
      <w:pPr>
        <w:pStyle w:val="4"/>
        <w:spacing w:line="342" w:lineRule="auto"/>
        <w:ind w:left="0" w:firstLine="600" w:firstLineChars="200"/>
        <w:jc w:val="left"/>
        <w:rPr>
          <w:rFonts w:hint="eastAsia"/>
          <w:lang w:eastAsia="zh-CN"/>
        </w:rPr>
      </w:pPr>
      <w:r>
        <w:rPr>
          <w:rFonts w:hint="eastAsia" w:ascii="仿宋" w:hAnsi="仿宋" w:eastAsia="仿宋" w:cs="Times New Roman"/>
          <w:kern w:val="2"/>
          <w:sz w:val="30"/>
          <w:szCs w:val="30"/>
          <w:lang w:val="en-US" w:eastAsia="zh-CN" w:bidi="ar-SA"/>
        </w:rPr>
        <w:object>
          <v:shape id="_x0000_s1027" type="#_x0000_t75" style="height:0.05pt;width:0.05pt;rotation:0f;" o:ole="t" fillcolor="#FFFFFF" filled="t" o:preferrelative="t" stroked="t" coordorigin="0,0" coordsize="21600,21600">
            <v:stroke color="#000000" color2="#FFFFFF" miterlimit="2"/>
            <v:imagedata gain="65536f" blacklevel="0f" gamma="0"/>
            <o:lock v:ext="edit" position="f" selection="f" grouping="f" rotation="f" cropping="f" text="f" aspectratio="f"/>
            <w10:wrap type="none"/>
            <w10:anchorlock/>
          </v:shape>
          <o:OLEObject Type="Embed" ProgID="RTX.FileAttach" ShapeID="_x0000_s1027" DrawAspect="Content" ObjectID="_1026" r:id="rId7"/>
        </w:object>
      </w:r>
      <w:r>
        <w:rPr>
          <w:rFonts w:hint="eastAsia" w:ascii="仿宋" w:hAnsi="仿宋" w:eastAsia="仿宋" w:cs="Times New Roman"/>
          <w:kern w:val="2"/>
          <w:sz w:val="30"/>
          <w:szCs w:val="30"/>
          <w:lang w:val="en-US" w:eastAsia="zh-CN" w:bidi="ar-SA"/>
        </w:rPr>
        <w:object>
          <v:shape id="_x0000_s1028" type="#_x0000_t75" style="height:0.05pt;width:0.05pt;rotation:0f;" o:ole="t" fillcolor="#FFFFFF" filled="t" o:preferrelative="t" stroked="t" coordorigin="0,0" coordsize="21600,21600">
            <v:stroke color="#000000" color2="#FFFFFF" miterlimit="2"/>
            <v:imagedata gain="65536f" blacklevel="0f" gamma="0"/>
            <o:lock v:ext="edit" position="f" selection="f" grouping="f" rotation="f" cropping="f" text="f" aspectratio="f"/>
            <w10:wrap type="none"/>
            <w10:anchorlock/>
          </v:shape>
          <o:OLEObject Type="Embed" ProgID="RTX.FileAttach" ShapeID="_x0000_s1028" DrawAspect="Content" ObjectID="_1027" r:id="rId8"/>
        </w:object>
      </w:r>
      <w:r>
        <w:rPr>
          <w:rFonts w:hint="eastAsia" w:cs="Times New Roman"/>
          <w:kern w:val="2"/>
          <w:sz w:val="30"/>
          <w:szCs w:val="30"/>
          <w:lang w:val="en-US" w:eastAsia="zh-CN" w:bidi="ar-SA"/>
        </w:rPr>
        <w:t>自动</w:t>
      </w:r>
      <w:r>
        <w:rPr>
          <w:rFonts w:hint="eastAsia"/>
          <w:lang w:eastAsia="zh-CN"/>
        </w:rPr>
        <w:t>分期各期数对应的期手续费率及其近似折算年化手续费率为：</w:t>
      </w:r>
    </w:p>
    <w:tbl>
      <w:tblPr>
        <w:tblW w:w="78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536"/>
        <w:gridCol w:w="1016"/>
        <w:gridCol w:w="968"/>
        <w:gridCol w:w="1080"/>
        <w:gridCol w:w="1080"/>
        <w:gridCol w:w="1080"/>
        <w:gridCol w:w="1080"/>
      </w:tblGrid>
      <w:tr>
        <w:trPr>
          <w:trHeight w:val="462" w:hRule="exact"/>
          <w:jc w:val="center"/>
        </w:trPr>
        <w:tc>
          <w:tcPr>
            <w:tcW w:w="1536" w:type="dxa"/>
            <w:tcBorders>
              <w:top w:val="single" w:color="000000" w:sz="4" w:space="0"/>
              <w:left w:val="single" w:color="000000" w:sz="4" w:space="0"/>
              <w:bottom w:val="single" w:color="000000" w:sz="4" w:space="0"/>
              <w:right w:val="single" w:color="000000" w:sz="4" w:space="0"/>
            </w:tcBorders>
            <w:vAlign w:val="center"/>
          </w:tcPr>
          <w:p>
            <w:pPr>
              <w:pStyle w:val="11"/>
              <w:spacing w:line="346" w:lineRule="exact"/>
              <w:ind w:left="314" w:right="0"/>
              <w:jc w:val="center"/>
              <w:rPr>
                <w:rFonts w:ascii="Blackoak Std" w:hAnsi="Blackoak Std" w:eastAsia="Blackoak Std" w:cs="Blackoak Std"/>
                <w:b w:val="0"/>
                <w:bCs w:val="0"/>
                <w:sz w:val="22"/>
                <w:szCs w:val="22"/>
              </w:rPr>
            </w:pPr>
            <w:r>
              <w:rPr>
                <w:rFonts w:ascii="Microsoft JhengHei" w:hAnsi="Microsoft JhengHei" w:eastAsia="Microsoft JhengHei" w:cs="Microsoft JhengHei"/>
                <w:b w:val="0"/>
                <w:bCs w:val="0"/>
                <w:sz w:val="22"/>
                <w:szCs w:val="22"/>
              </w:rPr>
              <w:t>期数</w:t>
            </w:r>
            <w:r>
              <w:rPr>
                <w:rFonts w:ascii="Blackoak Std" w:hAnsi="Blackoak Std" w:eastAsia="Blackoak Std" w:cs="Blackoak Std"/>
                <w:b w:val="0"/>
                <w:bCs w:val="0"/>
                <w:sz w:val="22"/>
                <w:szCs w:val="22"/>
              </w:rPr>
              <w:t xml:space="preserve"> </w:t>
            </w:r>
          </w:p>
        </w:tc>
        <w:tc>
          <w:tcPr>
            <w:tcW w:w="1016" w:type="dxa"/>
            <w:tcBorders>
              <w:top w:val="single" w:color="000000" w:sz="4" w:space="0"/>
              <w:left w:val="single" w:color="000000" w:sz="4" w:space="0"/>
              <w:bottom w:val="single" w:color="000000" w:sz="4" w:space="0"/>
              <w:right w:val="single" w:color="000000" w:sz="4" w:space="0"/>
            </w:tcBorders>
            <w:vAlign w:val="center"/>
          </w:tcPr>
          <w:p>
            <w:pPr>
              <w:pStyle w:val="11"/>
              <w:spacing w:line="346" w:lineRule="exact"/>
              <w:ind w:left="369" w:right="0"/>
              <w:jc w:val="center"/>
              <w:rPr>
                <w:rFonts w:ascii="Blackoak Std" w:hAnsi="Blackoak Std" w:eastAsia="Blackoak Std" w:cs="Blackoak Std"/>
                <w:b w:val="0"/>
                <w:bCs w:val="0"/>
                <w:sz w:val="22"/>
                <w:szCs w:val="22"/>
              </w:rPr>
            </w:pPr>
            <w:r>
              <w:rPr>
                <w:rFonts w:ascii="Times New Roman" w:hAnsi="Times New Roman" w:eastAsia="Times New Roman" w:cs="Times New Roman"/>
                <w:b w:val="0"/>
                <w:bCs w:val="0"/>
                <w:sz w:val="22"/>
                <w:szCs w:val="22"/>
              </w:rPr>
              <w:t>3</w:t>
            </w:r>
            <w:r>
              <w:rPr>
                <w:rFonts w:ascii="Microsoft JhengHei" w:hAnsi="Microsoft JhengHei" w:eastAsia="Microsoft JhengHei" w:cs="Microsoft JhengHei"/>
                <w:b w:val="0"/>
                <w:bCs w:val="0"/>
                <w:sz w:val="22"/>
                <w:szCs w:val="22"/>
              </w:rPr>
              <w:t>期</w:t>
            </w:r>
            <w:r>
              <w:rPr>
                <w:rFonts w:ascii="Blackoak Std" w:hAnsi="Blackoak Std" w:eastAsia="Blackoak Std" w:cs="Blackoak Std"/>
                <w:b w:val="0"/>
                <w:bCs w:val="0"/>
                <w:sz w:val="22"/>
                <w:szCs w:val="22"/>
              </w:rPr>
              <w:t xml:space="preserve"> </w:t>
            </w:r>
          </w:p>
        </w:tc>
        <w:tc>
          <w:tcPr>
            <w:tcW w:w="968" w:type="dxa"/>
            <w:tcBorders>
              <w:top w:val="single" w:color="000000" w:sz="4" w:space="0"/>
              <w:left w:val="single" w:color="000000" w:sz="4" w:space="0"/>
              <w:bottom w:val="single" w:color="000000" w:sz="4" w:space="0"/>
              <w:right w:val="single" w:color="000000" w:sz="4" w:space="0"/>
            </w:tcBorders>
            <w:vAlign w:val="center"/>
          </w:tcPr>
          <w:p>
            <w:pPr>
              <w:pStyle w:val="11"/>
              <w:spacing w:line="346" w:lineRule="exact"/>
              <w:ind w:left="369" w:right="0"/>
              <w:jc w:val="center"/>
              <w:rPr>
                <w:rFonts w:ascii="Blackoak Std" w:hAnsi="Blackoak Std" w:eastAsia="Blackoak Std" w:cs="Blackoak Std"/>
                <w:b w:val="0"/>
                <w:bCs w:val="0"/>
                <w:sz w:val="22"/>
                <w:szCs w:val="22"/>
              </w:rPr>
            </w:pPr>
            <w:r>
              <w:rPr>
                <w:rFonts w:ascii="Times New Roman" w:hAnsi="Times New Roman" w:eastAsia="Times New Roman" w:cs="Times New Roman"/>
                <w:b w:val="0"/>
                <w:bCs w:val="0"/>
                <w:sz w:val="22"/>
                <w:szCs w:val="22"/>
              </w:rPr>
              <w:t>6</w:t>
            </w:r>
            <w:r>
              <w:rPr>
                <w:rFonts w:ascii="Microsoft JhengHei" w:hAnsi="Microsoft JhengHei" w:eastAsia="Microsoft JhengHei" w:cs="Microsoft JhengHei"/>
                <w:b w:val="0"/>
                <w:bCs w:val="0"/>
                <w:sz w:val="22"/>
                <w:szCs w:val="22"/>
              </w:rPr>
              <w:t>期</w:t>
            </w:r>
            <w:r>
              <w:rPr>
                <w:rFonts w:ascii="Blackoak Std" w:hAnsi="Blackoak Std" w:eastAsia="Blackoak Std" w:cs="Blackoak Std"/>
                <w:b w:val="0"/>
                <w:bCs w:val="0"/>
                <w:sz w:val="22"/>
                <w:szCs w:val="22"/>
              </w:rPr>
              <w:t xml:space="preserve"> </w:t>
            </w:r>
          </w:p>
        </w:tc>
        <w:tc>
          <w:tcPr>
            <w:tcW w:w="1080" w:type="dxa"/>
            <w:tcBorders>
              <w:top w:val="single" w:color="000000" w:sz="4" w:space="0"/>
              <w:left w:val="single" w:color="000000" w:sz="4" w:space="0"/>
              <w:bottom w:val="single" w:color="000000" w:sz="4" w:space="0"/>
              <w:right w:val="single" w:color="000000" w:sz="4" w:space="0"/>
            </w:tcBorders>
            <w:vAlign w:val="center"/>
          </w:tcPr>
          <w:p>
            <w:pPr>
              <w:pStyle w:val="11"/>
              <w:spacing w:line="346" w:lineRule="exact"/>
              <w:ind w:left="369" w:right="0"/>
              <w:jc w:val="center"/>
              <w:rPr>
                <w:rFonts w:ascii="Blackoak Std" w:hAnsi="Blackoak Std" w:eastAsia="Blackoak Std" w:cs="Blackoak Std"/>
                <w:b w:val="0"/>
                <w:bCs w:val="0"/>
                <w:sz w:val="22"/>
                <w:szCs w:val="22"/>
              </w:rPr>
            </w:pPr>
            <w:r>
              <w:rPr>
                <w:rFonts w:ascii="Times New Roman" w:hAnsi="Times New Roman" w:eastAsia="Times New Roman" w:cs="Times New Roman"/>
                <w:b w:val="0"/>
                <w:bCs w:val="0"/>
                <w:sz w:val="22"/>
                <w:szCs w:val="22"/>
              </w:rPr>
              <w:t>9</w:t>
            </w:r>
            <w:r>
              <w:rPr>
                <w:rFonts w:ascii="Microsoft JhengHei" w:hAnsi="Microsoft JhengHei" w:eastAsia="Microsoft JhengHei" w:cs="Microsoft JhengHei"/>
                <w:b w:val="0"/>
                <w:bCs w:val="0"/>
                <w:sz w:val="22"/>
                <w:szCs w:val="22"/>
              </w:rPr>
              <w:t>期</w:t>
            </w:r>
            <w:r>
              <w:rPr>
                <w:rFonts w:ascii="Blackoak Std" w:hAnsi="Blackoak Std" w:eastAsia="Blackoak Std" w:cs="Blackoak Std"/>
                <w:b w:val="0"/>
                <w:bCs w:val="0"/>
                <w:sz w:val="22"/>
                <w:szCs w:val="22"/>
              </w:rPr>
              <w:t xml:space="preserve"> </w:t>
            </w:r>
          </w:p>
        </w:tc>
        <w:tc>
          <w:tcPr>
            <w:tcW w:w="1080" w:type="dxa"/>
            <w:tcBorders>
              <w:top w:val="single" w:color="000000" w:sz="4" w:space="0"/>
              <w:left w:val="single" w:color="000000" w:sz="4" w:space="0"/>
              <w:bottom w:val="single" w:color="000000" w:sz="4" w:space="0"/>
              <w:right w:val="single" w:color="000000" w:sz="4" w:space="0"/>
            </w:tcBorders>
            <w:vAlign w:val="center"/>
          </w:tcPr>
          <w:p>
            <w:pPr>
              <w:pStyle w:val="11"/>
              <w:spacing w:line="346" w:lineRule="exact"/>
              <w:ind w:left="313" w:right="0"/>
              <w:jc w:val="center"/>
              <w:rPr>
                <w:rFonts w:ascii="Blackoak Std" w:hAnsi="Blackoak Std" w:eastAsia="Blackoak Std" w:cs="Blackoak Std"/>
                <w:b w:val="0"/>
                <w:bCs w:val="0"/>
                <w:sz w:val="22"/>
                <w:szCs w:val="22"/>
              </w:rPr>
            </w:pPr>
            <w:r>
              <w:rPr>
                <w:rFonts w:ascii="Times New Roman" w:hAnsi="Times New Roman" w:eastAsia="Times New Roman" w:cs="Times New Roman"/>
                <w:b w:val="0"/>
                <w:bCs w:val="0"/>
                <w:sz w:val="22"/>
                <w:szCs w:val="22"/>
              </w:rPr>
              <w:t>12</w:t>
            </w:r>
            <w:r>
              <w:rPr>
                <w:rFonts w:ascii="Microsoft JhengHei" w:hAnsi="Microsoft JhengHei" w:eastAsia="Microsoft JhengHei" w:cs="Microsoft JhengHei"/>
                <w:b w:val="0"/>
                <w:bCs w:val="0"/>
                <w:sz w:val="22"/>
                <w:szCs w:val="22"/>
              </w:rPr>
              <w:t>期</w:t>
            </w:r>
            <w:r>
              <w:rPr>
                <w:rFonts w:ascii="Blackoak Std" w:hAnsi="Blackoak Std" w:eastAsia="Blackoak Std" w:cs="Blackoak Std"/>
                <w:b w:val="0"/>
                <w:bCs w:val="0"/>
                <w:sz w:val="22"/>
                <w:szCs w:val="22"/>
              </w:rPr>
              <w:t xml:space="preserve"> </w:t>
            </w:r>
          </w:p>
        </w:tc>
        <w:tc>
          <w:tcPr>
            <w:tcW w:w="1080" w:type="dxa"/>
            <w:tcBorders>
              <w:top w:val="single" w:color="000000" w:sz="4" w:space="0"/>
              <w:left w:val="single" w:color="000000" w:sz="4" w:space="0"/>
              <w:bottom w:val="single" w:color="000000" w:sz="4" w:space="0"/>
              <w:right w:val="single" w:color="000000" w:sz="4" w:space="0"/>
            </w:tcBorders>
            <w:vAlign w:val="center"/>
          </w:tcPr>
          <w:p>
            <w:pPr>
              <w:pStyle w:val="11"/>
              <w:spacing w:line="346" w:lineRule="exact"/>
              <w:ind w:left="313" w:right="0"/>
              <w:jc w:val="center"/>
              <w:rPr>
                <w:rFonts w:ascii="Blackoak Std" w:hAnsi="Blackoak Std" w:eastAsia="Blackoak Std" w:cs="Blackoak Std"/>
                <w:b w:val="0"/>
                <w:bCs w:val="0"/>
                <w:sz w:val="22"/>
                <w:szCs w:val="22"/>
              </w:rPr>
            </w:pPr>
            <w:r>
              <w:rPr>
                <w:rFonts w:ascii="Times New Roman" w:hAnsi="Times New Roman" w:eastAsia="Times New Roman" w:cs="Times New Roman"/>
                <w:b w:val="0"/>
                <w:bCs w:val="0"/>
                <w:sz w:val="22"/>
                <w:szCs w:val="22"/>
              </w:rPr>
              <w:t>18</w:t>
            </w:r>
            <w:r>
              <w:rPr>
                <w:rFonts w:ascii="Microsoft JhengHei" w:hAnsi="Microsoft JhengHei" w:eastAsia="Microsoft JhengHei" w:cs="Microsoft JhengHei"/>
                <w:b w:val="0"/>
                <w:bCs w:val="0"/>
                <w:sz w:val="22"/>
                <w:szCs w:val="22"/>
              </w:rPr>
              <w:t>期</w:t>
            </w:r>
            <w:r>
              <w:rPr>
                <w:rFonts w:ascii="Blackoak Std" w:hAnsi="Blackoak Std" w:eastAsia="Blackoak Std" w:cs="Blackoak Std"/>
                <w:b w:val="0"/>
                <w:bCs w:val="0"/>
                <w:sz w:val="22"/>
                <w:szCs w:val="22"/>
              </w:rPr>
              <w:t xml:space="preserve"> </w:t>
            </w:r>
          </w:p>
        </w:tc>
        <w:tc>
          <w:tcPr>
            <w:tcW w:w="1080" w:type="dxa"/>
            <w:tcBorders>
              <w:top w:val="single" w:color="000000" w:sz="4" w:space="0"/>
              <w:left w:val="single" w:color="000000" w:sz="4" w:space="0"/>
              <w:bottom w:val="single" w:color="000000" w:sz="4" w:space="0"/>
              <w:right w:val="single" w:color="000000" w:sz="4" w:space="0"/>
            </w:tcBorders>
            <w:vAlign w:val="center"/>
          </w:tcPr>
          <w:p>
            <w:pPr>
              <w:pStyle w:val="11"/>
              <w:spacing w:line="346" w:lineRule="exact"/>
              <w:ind w:left="313" w:right="0"/>
              <w:jc w:val="center"/>
              <w:rPr>
                <w:rFonts w:ascii="Blackoak Std" w:hAnsi="Blackoak Std" w:eastAsia="Blackoak Std" w:cs="Blackoak Std"/>
                <w:b w:val="0"/>
                <w:bCs w:val="0"/>
                <w:sz w:val="22"/>
                <w:szCs w:val="22"/>
              </w:rPr>
            </w:pPr>
            <w:r>
              <w:rPr>
                <w:rFonts w:ascii="Times New Roman" w:hAnsi="Times New Roman" w:eastAsia="Times New Roman" w:cs="Times New Roman"/>
                <w:b w:val="0"/>
                <w:bCs w:val="0"/>
                <w:sz w:val="22"/>
                <w:szCs w:val="22"/>
              </w:rPr>
              <w:t>24</w:t>
            </w:r>
            <w:r>
              <w:rPr>
                <w:rFonts w:ascii="Microsoft JhengHei" w:hAnsi="Microsoft JhengHei" w:eastAsia="Microsoft JhengHei" w:cs="Microsoft JhengHei"/>
                <w:b w:val="0"/>
                <w:bCs w:val="0"/>
                <w:sz w:val="22"/>
                <w:szCs w:val="22"/>
              </w:rPr>
              <w:t>期</w:t>
            </w:r>
            <w:r>
              <w:rPr>
                <w:rFonts w:ascii="Blackoak Std" w:hAnsi="Blackoak Std" w:eastAsia="Blackoak Std" w:cs="Blackoak Std"/>
                <w:b w:val="0"/>
                <w:bCs w:val="0"/>
                <w:sz w:val="22"/>
                <w:szCs w:val="22"/>
              </w:rPr>
              <w:t xml:space="preserve"> </w:t>
            </w:r>
          </w:p>
        </w:tc>
      </w:tr>
      <w:tr>
        <w:trPr>
          <w:trHeight w:val="653" w:hRule="exact"/>
          <w:jc w:val="center"/>
        </w:trPr>
        <w:tc>
          <w:tcPr>
            <w:tcW w:w="1536" w:type="dxa"/>
            <w:tcBorders>
              <w:top w:val="single" w:color="000000" w:sz="4" w:space="0"/>
              <w:left w:val="single" w:color="000000" w:sz="4" w:space="0"/>
              <w:bottom w:val="single" w:color="000000" w:sz="4" w:space="0"/>
              <w:right w:val="single" w:color="000000" w:sz="4" w:space="0"/>
            </w:tcBorders>
            <w:vAlign w:val="center"/>
          </w:tcPr>
          <w:p>
            <w:pPr>
              <w:pStyle w:val="11"/>
              <w:spacing w:line="373" w:lineRule="exact"/>
              <w:ind w:left="93" w:right="-17"/>
              <w:jc w:val="center"/>
              <w:rPr>
                <w:rFonts w:ascii="宋体" w:hAnsi="宋体" w:eastAsia="宋体" w:cs="宋体"/>
                <w:b w:val="0"/>
                <w:bCs w:val="0"/>
                <w:sz w:val="22"/>
                <w:szCs w:val="22"/>
              </w:rPr>
            </w:pPr>
            <w:r>
              <w:rPr>
                <w:rFonts w:hint="eastAsia" w:ascii="Microsoft JhengHei" w:hAnsi="Microsoft JhengHei" w:cs="Microsoft JhengHei"/>
                <w:b w:val="0"/>
                <w:bCs w:val="0"/>
                <w:sz w:val="22"/>
                <w:szCs w:val="22"/>
                <w:lang w:eastAsia="zh-CN"/>
              </w:rPr>
              <w:t>分</w:t>
            </w:r>
            <w:bookmarkStart w:id="1" w:name="_GoBack"/>
            <w:bookmarkEnd w:id="1"/>
            <w:r>
              <w:rPr>
                <w:rFonts w:hint="eastAsia" w:ascii="Microsoft JhengHei" w:hAnsi="Microsoft JhengHei" w:cs="Microsoft JhengHei"/>
                <w:b w:val="0"/>
                <w:bCs w:val="0"/>
                <w:sz w:val="22"/>
                <w:szCs w:val="22"/>
                <w:lang w:eastAsia="zh-CN"/>
              </w:rPr>
              <w:t>期</w:t>
            </w:r>
            <w:r>
              <w:rPr>
                <w:rFonts w:ascii="Microsoft JhengHei" w:hAnsi="Microsoft JhengHei" w:eastAsia="Microsoft JhengHei" w:cs="Microsoft JhengHei"/>
                <w:b w:val="0"/>
                <w:bCs w:val="0"/>
                <w:sz w:val="22"/>
                <w:szCs w:val="22"/>
              </w:rPr>
              <w:t>手续费率</w:t>
            </w:r>
            <w:r>
              <w:rPr>
                <w:rFonts w:ascii="宋体" w:hAnsi="宋体" w:eastAsia="宋体" w:cs="宋体"/>
                <w:b w:val="0"/>
                <w:bCs w:val="0"/>
                <w:sz w:val="22"/>
                <w:szCs w:val="22"/>
              </w:rPr>
              <w:t xml:space="preserve"> </w:t>
            </w:r>
          </w:p>
        </w:tc>
        <w:tc>
          <w:tcPr>
            <w:tcW w:w="1016" w:type="dxa"/>
            <w:tcBorders>
              <w:top w:val="single" w:color="000000" w:sz="4" w:space="0"/>
              <w:left w:val="single" w:color="000000" w:sz="4" w:space="0"/>
              <w:bottom w:val="single" w:color="000000" w:sz="4" w:space="0"/>
              <w:right w:val="single" w:color="000000" w:sz="4" w:space="0"/>
            </w:tcBorders>
            <w:vAlign w:val="center"/>
          </w:tcPr>
          <w:p>
            <w:pPr>
              <w:pStyle w:val="11"/>
              <w:spacing w:before="60" w:line="240" w:lineRule="auto"/>
              <w:ind w:left="260" w:right="0"/>
              <w:jc w:val="center"/>
              <w:rPr>
                <w:rFonts w:ascii="宋体" w:hAnsi="宋体" w:eastAsia="宋体" w:cs="宋体"/>
                <w:b w:val="0"/>
                <w:bCs w:val="0"/>
                <w:sz w:val="22"/>
                <w:szCs w:val="22"/>
              </w:rPr>
            </w:pPr>
            <w:r>
              <w:rPr>
                <w:rFonts w:ascii="宋体"/>
                <w:b w:val="0"/>
                <w:bCs w:val="0"/>
                <w:sz w:val="22"/>
              </w:rPr>
              <w:t xml:space="preserve">1.80% </w:t>
            </w:r>
          </w:p>
        </w:tc>
        <w:tc>
          <w:tcPr>
            <w:tcW w:w="968" w:type="dxa"/>
            <w:tcBorders>
              <w:top w:val="single" w:color="000000" w:sz="4" w:space="0"/>
              <w:left w:val="single" w:color="000000" w:sz="4" w:space="0"/>
              <w:bottom w:val="single" w:color="000000" w:sz="4" w:space="0"/>
              <w:right w:val="single" w:color="000000" w:sz="4" w:space="0"/>
            </w:tcBorders>
            <w:vAlign w:val="center"/>
          </w:tcPr>
          <w:p>
            <w:pPr>
              <w:pStyle w:val="11"/>
              <w:spacing w:before="60" w:line="240" w:lineRule="auto"/>
              <w:ind w:left="260" w:right="0"/>
              <w:jc w:val="center"/>
              <w:rPr>
                <w:rFonts w:ascii="宋体" w:hAnsi="宋体" w:eastAsia="宋体" w:cs="宋体"/>
                <w:b w:val="0"/>
                <w:bCs w:val="0"/>
                <w:sz w:val="22"/>
                <w:szCs w:val="22"/>
              </w:rPr>
            </w:pPr>
            <w:r>
              <w:rPr>
                <w:rFonts w:ascii="宋体"/>
                <w:b w:val="0"/>
                <w:bCs w:val="0"/>
                <w:sz w:val="22"/>
              </w:rPr>
              <w:t xml:space="preserve">3.60% </w:t>
            </w:r>
          </w:p>
        </w:tc>
        <w:tc>
          <w:tcPr>
            <w:tcW w:w="1080" w:type="dxa"/>
            <w:tcBorders>
              <w:top w:val="single" w:color="000000" w:sz="4" w:space="0"/>
              <w:left w:val="single" w:color="000000" w:sz="4" w:space="0"/>
              <w:bottom w:val="single" w:color="000000" w:sz="4" w:space="0"/>
              <w:right w:val="single" w:color="000000" w:sz="4" w:space="0"/>
            </w:tcBorders>
            <w:vAlign w:val="center"/>
          </w:tcPr>
          <w:p>
            <w:pPr>
              <w:pStyle w:val="11"/>
              <w:spacing w:before="60" w:line="240" w:lineRule="auto"/>
              <w:ind w:left="260" w:right="0"/>
              <w:jc w:val="center"/>
              <w:rPr>
                <w:rFonts w:ascii="宋体" w:hAnsi="宋体" w:eastAsia="宋体" w:cs="宋体"/>
                <w:b w:val="0"/>
                <w:bCs w:val="0"/>
                <w:sz w:val="22"/>
                <w:szCs w:val="22"/>
              </w:rPr>
            </w:pPr>
            <w:r>
              <w:rPr>
                <w:rFonts w:ascii="宋体"/>
                <w:b w:val="0"/>
                <w:bCs w:val="0"/>
                <w:sz w:val="22"/>
              </w:rPr>
              <w:t xml:space="preserve">5.40% </w:t>
            </w:r>
          </w:p>
        </w:tc>
        <w:tc>
          <w:tcPr>
            <w:tcW w:w="1080" w:type="dxa"/>
            <w:tcBorders>
              <w:top w:val="single" w:color="000000" w:sz="4" w:space="0"/>
              <w:left w:val="single" w:color="000000" w:sz="4" w:space="0"/>
              <w:bottom w:val="single" w:color="000000" w:sz="4" w:space="0"/>
              <w:right w:val="single" w:color="000000" w:sz="4" w:space="0"/>
            </w:tcBorders>
            <w:vAlign w:val="center"/>
          </w:tcPr>
          <w:p>
            <w:pPr>
              <w:pStyle w:val="11"/>
              <w:spacing w:before="60" w:line="240" w:lineRule="auto"/>
              <w:ind w:left="260" w:right="0"/>
              <w:jc w:val="center"/>
              <w:rPr>
                <w:rFonts w:ascii="宋体" w:hAnsi="宋体" w:eastAsia="宋体" w:cs="宋体"/>
                <w:b w:val="0"/>
                <w:bCs w:val="0"/>
                <w:sz w:val="22"/>
                <w:szCs w:val="22"/>
              </w:rPr>
            </w:pPr>
            <w:r>
              <w:rPr>
                <w:rFonts w:ascii="宋体"/>
                <w:b w:val="0"/>
                <w:bCs w:val="0"/>
                <w:sz w:val="22"/>
              </w:rPr>
              <w:t xml:space="preserve">7.20% </w:t>
            </w:r>
          </w:p>
        </w:tc>
        <w:tc>
          <w:tcPr>
            <w:tcW w:w="1080" w:type="dxa"/>
            <w:tcBorders>
              <w:top w:val="single" w:color="000000" w:sz="4" w:space="0"/>
              <w:left w:val="single" w:color="000000" w:sz="4" w:space="0"/>
              <w:bottom w:val="single" w:color="000000" w:sz="4" w:space="0"/>
              <w:right w:val="single" w:color="000000" w:sz="4" w:space="0"/>
            </w:tcBorders>
            <w:vAlign w:val="center"/>
          </w:tcPr>
          <w:p>
            <w:pPr>
              <w:pStyle w:val="11"/>
              <w:spacing w:before="60" w:line="240" w:lineRule="auto"/>
              <w:ind w:left="205" w:right="0"/>
              <w:jc w:val="center"/>
              <w:rPr>
                <w:rFonts w:ascii="宋体" w:hAnsi="宋体" w:eastAsia="宋体" w:cs="宋体"/>
                <w:b w:val="0"/>
                <w:bCs w:val="0"/>
                <w:sz w:val="22"/>
                <w:szCs w:val="22"/>
              </w:rPr>
            </w:pPr>
            <w:r>
              <w:rPr>
                <w:rFonts w:ascii="宋体"/>
                <w:b w:val="0"/>
                <w:bCs w:val="0"/>
                <w:sz w:val="22"/>
              </w:rPr>
              <w:t xml:space="preserve">10.80% </w:t>
            </w:r>
          </w:p>
        </w:tc>
        <w:tc>
          <w:tcPr>
            <w:tcW w:w="1080" w:type="dxa"/>
            <w:tcBorders>
              <w:top w:val="single" w:color="000000" w:sz="4" w:space="0"/>
              <w:left w:val="single" w:color="000000" w:sz="4" w:space="0"/>
              <w:bottom w:val="single" w:color="000000" w:sz="4" w:space="0"/>
              <w:right w:val="single" w:color="000000" w:sz="4" w:space="0"/>
            </w:tcBorders>
            <w:vAlign w:val="center"/>
          </w:tcPr>
          <w:p>
            <w:pPr>
              <w:pStyle w:val="11"/>
              <w:spacing w:before="60" w:line="240" w:lineRule="auto"/>
              <w:ind w:left="205" w:right="0"/>
              <w:jc w:val="center"/>
              <w:rPr>
                <w:rFonts w:ascii="宋体" w:hAnsi="宋体" w:eastAsia="宋体" w:cs="宋体"/>
                <w:b w:val="0"/>
                <w:bCs w:val="0"/>
                <w:sz w:val="22"/>
                <w:szCs w:val="22"/>
              </w:rPr>
            </w:pPr>
            <w:r>
              <w:rPr>
                <w:rFonts w:ascii="宋体"/>
                <w:b w:val="0"/>
                <w:bCs w:val="0"/>
                <w:sz w:val="22"/>
              </w:rPr>
              <w:t xml:space="preserve">14.40% </w:t>
            </w:r>
          </w:p>
        </w:tc>
      </w:tr>
      <w:tr>
        <w:trPr>
          <w:trHeight w:val="799" w:hRule="exact"/>
          <w:jc w:val="center"/>
        </w:trPr>
        <w:tc>
          <w:tcPr>
            <w:tcW w:w="1536" w:type="dxa"/>
            <w:tcBorders>
              <w:top w:val="single" w:color="000000" w:sz="4" w:space="0"/>
              <w:left w:val="single" w:color="000000" w:sz="4" w:space="0"/>
              <w:bottom w:val="single" w:color="000000" w:sz="4" w:space="0"/>
              <w:right w:val="single" w:color="000000" w:sz="4" w:space="0"/>
            </w:tcBorders>
            <w:vAlign w:val="center"/>
          </w:tcPr>
          <w:p>
            <w:pPr>
              <w:pStyle w:val="11"/>
              <w:spacing w:line="373" w:lineRule="exact"/>
              <w:ind w:left="93" w:right="-17"/>
              <w:jc w:val="center"/>
              <w:rPr>
                <w:rFonts w:hint="eastAsia"/>
                <w:lang w:val="en-US" w:eastAsia="zh-CN"/>
              </w:rPr>
            </w:pPr>
            <w:r>
              <w:rPr>
                <w:rFonts w:hint="eastAsia"/>
                <w:lang w:val="en-US" w:eastAsia="zh-CN"/>
              </w:rPr>
              <w:t>近似折算年化手续费率</w:t>
            </w:r>
          </w:p>
        </w:tc>
        <w:tc>
          <w:tcPr>
            <w:tcW w:w="1016" w:type="dxa"/>
            <w:tcBorders>
              <w:top w:val="single" w:color="000000" w:sz="4" w:space="0"/>
              <w:left w:val="single" w:color="000000" w:sz="4" w:space="0"/>
              <w:bottom w:val="single" w:color="000000" w:sz="4" w:space="0"/>
              <w:right w:val="single" w:color="000000" w:sz="4" w:space="0"/>
            </w:tcBorders>
            <w:vAlign w:val="center"/>
          </w:tcPr>
          <w:p>
            <w:pPr>
              <w:pStyle w:val="11"/>
              <w:spacing w:before="60" w:line="240" w:lineRule="auto"/>
              <w:ind w:left="260" w:right="0"/>
              <w:jc w:val="center"/>
              <w:rPr>
                <w:rFonts w:hint="eastAsia" w:ascii="宋体"/>
                <w:sz w:val="22"/>
                <w:lang w:val="en-US" w:eastAsia="zh-CN"/>
              </w:rPr>
            </w:pPr>
            <w:r>
              <w:rPr>
                <w:rFonts w:hint="eastAsia" w:ascii="宋体"/>
                <w:sz w:val="22"/>
                <w:lang w:val="en-US" w:eastAsia="zh-CN"/>
              </w:rPr>
              <w:t>11.42%</w:t>
            </w:r>
          </w:p>
        </w:tc>
        <w:tc>
          <w:tcPr>
            <w:tcW w:w="968" w:type="dxa"/>
            <w:tcBorders>
              <w:top w:val="single" w:color="000000" w:sz="4" w:space="0"/>
              <w:left w:val="single" w:color="000000" w:sz="4" w:space="0"/>
              <w:bottom w:val="single" w:color="000000" w:sz="4" w:space="0"/>
              <w:right w:val="single" w:color="000000" w:sz="4" w:space="0"/>
            </w:tcBorders>
            <w:vAlign w:val="center"/>
          </w:tcPr>
          <w:p>
            <w:pPr>
              <w:pStyle w:val="11"/>
              <w:spacing w:before="60" w:line="240" w:lineRule="auto"/>
              <w:ind w:left="260" w:right="0"/>
              <w:jc w:val="center"/>
              <w:rPr>
                <w:rFonts w:hint="eastAsia" w:ascii="宋体"/>
                <w:sz w:val="22"/>
                <w:lang w:val="en-US" w:eastAsia="zh-CN"/>
              </w:rPr>
            </w:pPr>
            <w:r>
              <w:rPr>
                <w:rFonts w:hint="eastAsia" w:ascii="宋体"/>
                <w:sz w:val="22"/>
                <w:lang w:val="en-US" w:eastAsia="zh-CN"/>
              </w:rPr>
              <w:t>12.95%</w:t>
            </w:r>
          </w:p>
        </w:tc>
        <w:tc>
          <w:tcPr>
            <w:tcW w:w="1080" w:type="dxa"/>
            <w:tcBorders>
              <w:top w:val="single" w:color="000000" w:sz="4" w:space="0"/>
              <w:left w:val="single" w:color="000000" w:sz="4" w:space="0"/>
              <w:bottom w:val="single" w:color="000000" w:sz="4" w:space="0"/>
              <w:right w:val="single" w:color="000000" w:sz="4" w:space="0"/>
            </w:tcBorders>
            <w:vAlign w:val="center"/>
          </w:tcPr>
          <w:p>
            <w:pPr>
              <w:pStyle w:val="11"/>
              <w:spacing w:before="60" w:line="240" w:lineRule="auto"/>
              <w:ind w:left="260" w:right="0"/>
              <w:jc w:val="center"/>
              <w:rPr>
                <w:rFonts w:hint="eastAsia" w:ascii="宋体"/>
                <w:sz w:val="22"/>
                <w:lang w:val="en-US" w:eastAsia="zh-CN"/>
              </w:rPr>
            </w:pPr>
            <w:r>
              <w:rPr>
                <w:rFonts w:hint="eastAsia" w:ascii="宋体"/>
                <w:sz w:val="22"/>
                <w:lang w:val="en-US" w:eastAsia="zh-CN"/>
              </w:rPr>
              <w:t>13.56%</w:t>
            </w:r>
          </w:p>
        </w:tc>
        <w:tc>
          <w:tcPr>
            <w:tcW w:w="1080" w:type="dxa"/>
            <w:tcBorders>
              <w:top w:val="single" w:color="000000" w:sz="4" w:space="0"/>
              <w:left w:val="single" w:color="000000" w:sz="4" w:space="0"/>
              <w:bottom w:val="single" w:color="000000" w:sz="4" w:space="0"/>
              <w:right w:val="single" w:color="000000" w:sz="4" w:space="0"/>
            </w:tcBorders>
            <w:vAlign w:val="center"/>
          </w:tcPr>
          <w:p>
            <w:pPr>
              <w:pStyle w:val="11"/>
              <w:spacing w:before="60" w:line="240" w:lineRule="auto"/>
              <w:ind w:left="260" w:right="0"/>
              <w:jc w:val="center"/>
              <w:rPr>
                <w:rFonts w:hint="eastAsia" w:ascii="宋体"/>
                <w:sz w:val="22"/>
                <w:lang w:val="en-US" w:eastAsia="zh-CN"/>
              </w:rPr>
            </w:pPr>
            <w:r>
              <w:rPr>
                <w:rFonts w:hint="eastAsia" w:ascii="宋体"/>
                <w:sz w:val="22"/>
                <w:lang w:val="en-US" w:eastAsia="zh-CN"/>
              </w:rPr>
              <w:t>13.84%</w:t>
            </w:r>
          </w:p>
        </w:tc>
        <w:tc>
          <w:tcPr>
            <w:tcW w:w="1080" w:type="dxa"/>
            <w:tcBorders>
              <w:top w:val="single" w:color="000000" w:sz="4" w:space="0"/>
              <w:left w:val="single" w:color="000000" w:sz="4" w:space="0"/>
              <w:bottom w:val="single" w:color="000000" w:sz="4" w:space="0"/>
              <w:right w:val="single" w:color="000000" w:sz="4" w:space="0"/>
            </w:tcBorders>
            <w:vAlign w:val="center"/>
          </w:tcPr>
          <w:p>
            <w:pPr>
              <w:pStyle w:val="11"/>
              <w:spacing w:before="60" w:line="240" w:lineRule="auto"/>
              <w:ind w:left="205" w:right="0"/>
              <w:jc w:val="center"/>
              <w:rPr>
                <w:rFonts w:hint="eastAsia" w:ascii="宋体" w:eastAsia="宋体"/>
                <w:sz w:val="22"/>
                <w:lang w:val="en-US" w:eastAsia="zh-CN"/>
              </w:rPr>
            </w:pPr>
            <w:r>
              <w:rPr>
                <w:rFonts w:hint="eastAsia" w:ascii="宋体"/>
                <w:sz w:val="22"/>
                <w:lang w:val="en-US" w:eastAsia="zh-CN"/>
              </w:rPr>
              <w:t>14.06%</w:t>
            </w:r>
          </w:p>
        </w:tc>
        <w:tc>
          <w:tcPr>
            <w:tcW w:w="1080" w:type="dxa"/>
            <w:tcBorders>
              <w:top w:val="single" w:color="000000" w:sz="4" w:space="0"/>
              <w:left w:val="single" w:color="000000" w:sz="4" w:space="0"/>
              <w:bottom w:val="single" w:color="000000" w:sz="4" w:space="0"/>
              <w:right w:val="single" w:color="000000" w:sz="4" w:space="0"/>
            </w:tcBorders>
            <w:vAlign w:val="center"/>
          </w:tcPr>
          <w:p>
            <w:pPr>
              <w:pStyle w:val="11"/>
              <w:spacing w:before="60" w:line="240" w:lineRule="auto"/>
              <w:ind w:left="205" w:right="0"/>
              <w:jc w:val="center"/>
              <w:rPr>
                <w:rFonts w:hint="eastAsia" w:ascii="宋体"/>
                <w:sz w:val="22"/>
                <w:lang w:val="en-US" w:eastAsia="zh-CN"/>
              </w:rPr>
            </w:pPr>
            <w:r>
              <w:rPr>
                <w:rFonts w:hint="eastAsia" w:ascii="宋体"/>
                <w:sz w:val="22"/>
                <w:lang w:val="en-US" w:eastAsia="zh-CN"/>
              </w:rPr>
              <w:t>14.10%</w:t>
            </w:r>
          </w:p>
        </w:tc>
      </w:tr>
    </w:tbl>
    <w:p>
      <w:pPr>
        <w:pStyle w:val="4"/>
        <w:spacing w:line="342" w:lineRule="auto"/>
        <w:ind w:left="0" w:firstLine="600" w:firstLineChars="200"/>
        <w:jc w:val="left"/>
        <w:rPr>
          <w:rFonts w:hint="eastAsia"/>
          <w:lang w:eastAsia="zh-CN"/>
        </w:rPr>
      </w:pPr>
      <w:r>
        <w:rPr>
          <w:rFonts w:hint="eastAsia"/>
          <w:lang w:eastAsia="zh-CN"/>
        </w:rPr>
        <w:t>如持卡人未依约还款则不适用上述近似折算年化手续费率。</w:t>
      </w:r>
    </w:p>
    <w:p>
      <w:pPr>
        <w:numPr>
          <w:numId w:val="0"/>
        </w:numPr>
        <w:ind w:firstLine="0" w:firstLineChars="0"/>
        <w:rPr>
          <w:rFonts w:ascii="仿宋" w:hAnsi="仿宋" w:eastAsia="仿宋" w:cs="仿宋"/>
          <w:sz w:val="30"/>
          <w:szCs w:val="30"/>
        </w:rPr>
      </w:pP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账单分期手续费=分期本金总额×对应期数的手续费率</w:t>
      </w:r>
      <w:r>
        <w:rPr>
          <w:rFonts w:hint="eastAsia" w:ascii="仿宋" w:hAnsi="仿宋" w:eastAsia="仿宋" w:cs="仿宋"/>
          <w:sz w:val="30"/>
          <w:szCs w:val="30"/>
          <w:lang w:eastAsia="zh-CN"/>
        </w:rPr>
        <w:t>，</w:t>
      </w:r>
      <w:r>
        <w:rPr>
          <w:rFonts w:hint="eastAsia" w:ascii="仿宋" w:hAnsi="仿宋" w:eastAsia="仿宋" w:cs="仿宋"/>
          <w:spacing w:val="0"/>
          <w:sz w:val="30"/>
          <w:szCs w:val="30"/>
        </w:rPr>
        <w:t>手续费在</w:t>
      </w:r>
      <w:r>
        <w:rPr>
          <w:rFonts w:hint="eastAsia" w:ascii="仿宋" w:hAnsi="仿宋" w:eastAsia="仿宋" w:cs="仿宋"/>
          <w:spacing w:val="0"/>
          <w:sz w:val="30"/>
          <w:szCs w:val="30"/>
          <w:lang w:val="en-US" w:eastAsia="zh-CN"/>
        </w:rPr>
        <w:t>账单</w:t>
      </w:r>
      <w:r>
        <w:rPr>
          <w:rFonts w:hint="eastAsia" w:ascii="仿宋" w:hAnsi="仿宋" w:eastAsia="仿宋" w:cs="仿宋"/>
          <w:spacing w:val="0"/>
          <w:sz w:val="30"/>
          <w:szCs w:val="30"/>
        </w:rPr>
        <w:t>分期申请成功后与当期应还本金一并计入持卡人信用卡账户。手续费</w:t>
      </w:r>
      <w:r>
        <w:rPr>
          <w:rFonts w:hint="eastAsia" w:ascii="仿宋" w:hAnsi="仿宋" w:eastAsia="仿宋" w:cs="仿宋"/>
          <w:spacing w:val="0"/>
          <w:sz w:val="30"/>
          <w:szCs w:val="30"/>
          <w:lang w:val="en-US" w:eastAsia="zh-CN"/>
        </w:rPr>
        <w:t>收取方式为：</w:t>
      </w:r>
      <w:r>
        <w:rPr>
          <w:rFonts w:hint="eastAsia" w:ascii="仿宋" w:hAnsi="仿宋" w:eastAsia="仿宋" w:cs="仿宋"/>
          <w:color w:val="auto"/>
          <w:spacing w:val="0"/>
          <w:sz w:val="30"/>
          <w:szCs w:val="30"/>
          <w:lang w:val="zh-CN"/>
        </w:rPr>
        <w:t>三期及以下手续费一次性收取；三期以上手续费收取方式为</w:t>
      </w:r>
      <w:r>
        <w:rPr>
          <w:rFonts w:hint="eastAsia" w:ascii="仿宋" w:hAnsi="仿宋" w:eastAsia="仿宋" w:cs="仿宋"/>
          <w:color w:val="auto"/>
          <w:spacing w:val="0"/>
          <w:sz w:val="30"/>
          <w:szCs w:val="30"/>
          <w:lang w:val="en-US" w:eastAsia="zh-CN"/>
        </w:rPr>
        <w:t>分摊每期</w:t>
      </w:r>
      <w:r>
        <w:rPr>
          <w:rFonts w:hint="eastAsia" w:ascii="仿宋" w:hAnsi="仿宋" w:eastAsia="仿宋" w:cs="仿宋"/>
          <w:color w:val="auto"/>
          <w:spacing w:val="0"/>
          <w:sz w:val="30"/>
          <w:szCs w:val="30"/>
          <w:lang w:val="zh-CN"/>
        </w:rPr>
        <w:t>收取。</w:t>
      </w:r>
    </w:p>
    <w:p>
      <w:pPr>
        <w:numPr>
          <w:numId w:val="0"/>
        </w:numPr>
        <w:ind w:firstLine="0" w:firstLineChars="0"/>
        <w:rPr>
          <w:rFonts w:ascii="仿宋" w:hAnsi="仿宋" w:eastAsia="仿宋" w:cs="仿宋"/>
          <w:sz w:val="30"/>
          <w:szCs w:val="30"/>
        </w:rPr>
      </w:pPr>
      <w:r>
        <w:rPr>
          <w:rFonts w:hint="eastAsia" w:ascii="仿宋" w:hAnsi="仿宋" w:eastAsia="仿宋" w:cs="仿宋"/>
          <w:sz w:val="30"/>
          <w:szCs w:val="30"/>
          <w:lang w:val="en-US" w:eastAsia="zh-CN"/>
        </w:rPr>
        <w:t xml:space="preserve">   6、</w:t>
      </w:r>
      <w:r>
        <w:rPr>
          <w:rFonts w:hint="eastAsia" w:ascii="仿宋" w:hAnsi="仿宋" w:eastAsia="仿宋" w:cs="仿宋"/>
          <w:sz w:val="30"/>
          <w:szCs w:val="30"/>
        </w:rPr>
        <w:t>本行有权根据自身政策，采取差异化定价，实行区间分期手续费率。已办理的自动分期不受分期手续费率调整的影响，且不受人民银行基准利率调整的影响。</w:t>
      </w:r>
    </w:p>
    <w:p>
      <w:pPr>
        <w:numPr>
          <w:numId w:val="0"/>
        </w:numPr>
        <w:ind w:firstLine="0" w:firstLineChars="0"/>
        <w:rPr>
          <w:rFonts w:ascii="仿宋" w:hAnsi="仿宋" w:eastAsia="仿宋" w:cs="仿宋"/>
          <w:sz w:val="30"/>
          <w:szCs w:val="30"/>
        </w:rPr>
      </w:pPr>
      <w:r>
        <w:rPr>
          <w:rFonts w:hint="eastAsia" w:ascii="仿宋" w:hAnsi="仿宋" w:eastAsia="仿宋" w:cs="仿宋"/>
          <w:b/>
          <w:bCs/>
          <w:sz w:val="30"/>
          <w:szCs w:val="30"/>
          <w:lang w:val="en-US" w:eastAsia="zh-CN"/>
        </w:rPr>
        <w:t xml:space="preserve">    7、</w:t>
      </w:r>
      <w:r>
        <w:rPr>
          <w:rFonts w:hint="eastAsia" w:ascii="仿宋" w:hAnsi="仿宋" w:eastAsia="仿宋" w:cs="仿宋"/>
          <w:b/>
          <w:bCs/>
          <w:sz w:val="30"/>
          <w:szCs w:val="30"/>
        </w:rPr>
        <w:t>自动分期审核通过后将于账单日自动生效，且一经生效即不可撤销或取消。在自动分期还款状态下，持卡人如进行账单全额还款，扣除自动分期后的当期应还金额，剩余部分将作为溢缴款存入账户中，银行不计付利息，但可抵扣后续的欠款金额。</w:t>
      </w:r>
    </w:p>
    <w:p>
      <w:pPr>
        <w:numPr>
          <w:numId w:val="0"/>
        </w:numPr>
        <w:ind w:firstLine="0" w:firstLineChars="0"/>
        <w:rPr>
          <w:rFonts w:ascii="仿宋" w:hAnsi="仿宋" w:eastAsia="仿宋" w:cs="仿宋"/>
          <w:sz w:val="30"/>
          <w:szCs w:val="30"/>
        </w:rPr>
      </w:pPr>
      <w:r>
        <w:rPr>
          <w:rFonts w:hint="eastAsia" w:ascii="仿宋" w:hAnsi="仿宋" w:eastAsia="仿宋" w:cs="仿宋"/>
          <w:b/>
          <w:bCs/>
          <w:sz w:val="30"/>
          <w:szCs w:val="30"/>
          <w:lang w:val="en-US" w:eastAsia="zh-CN"/>
        </w:rPr>
        <w:t xml:space="preserve">    8、</w:t>
      </w:r>
      <w:r>
        <w:rPr>
          <w:rFonts w:hint="eastAsia" w:ascii="仿宋" w:hAnsi="仿宋" w:eastAsia="仿宋" w:cs="仿宋"/>
          <w:b/>
          <w:bCs/>
          <w:sz w:val="30"/>
          <w:szCs w:val="30"/>
        </w:rPr>
        <w:t>经本行同意，持卡人可通过客服渠道（40005-96669）申请提前还款。如选择提前还款，</w:t>
      </w:r>
      <w:r>
        <w:rPr>
          <w:rFonts w:hint="eastAsia" w:ascii="仿宋" w:hAnsi="仿宋" w:eastAsia="仿宋" w:cs="仿宋"/>
          <w:b/>
          <w:bCs/>
          <w:color w:val="auto"/>
          <w:spacing w:val="0"/>
          <w:sz w:val="30"/>
          <w:szCs w:val="30"/>
          <w:lang w:val="zh-CN"/>
        </w:rPr>
        <w:t>三期及以下提前还款手续费</w:t>
      </w:r>
      <w:r>
        <w:rPr>
          <w:rFonts w:hint="eastAsia" w:ascii="仿宋" w:hAnsi="仿宋" w:eastAsia="仿宋" w:cs="仿宋"/>
          <w:b/>
          <w:bCs/>
          <w:color w:val="auto"/>
          <w:spacing w:val="0"/>
          <w:sz w:val="30"/>
          <w:szCs w:val="30"/>
          <w:lang w:val="en-US" w:eastAsia="zh-CN"/>
        </w:rPr>
        <w:t>不予退还</w:t>
      </w:r>
      <w:r>
        <w:rPr>
          <w:rFonts w:hint="eastAsia" w:ascii="仿宋" w:hAnsi="仿宋" w:eastAsia="仿宋" w:cs="仿宋"/>
          <w:b/>
          <w:bCs/>
          <w:color w:val="auto"/>
          <w:spacing w:val="0"/>
          <w:sz w:val="30"/>
          <w:szCs w:val="30"/>
          <w:lang w:val="zh-CN"/>
        </w:rPr>
        <w:t>；三期以上</w:t>
      </w:r>
      <w:r>
        <w:rPr>
          <w:rFonts w:hint="eastAsia" w:ascii="仿宋" w:hAnsi="仿宋" w:eastAsia="仿宋" w:cs="仿宋"/>
          <w:b/>
          <w:bCs/>
          <w:color w:val="auto"/>
          <w:spacing w:val="0"/>
          <w:sz w:val="30"/>
          <w:szCs w:val="30"/>
          <w:lang w:val="en-US" w:eastAsia="zh-CN"/>
        </w:rPr>
        <w:t>全额</w:t>
      </w:r>
      <w:r>
        <w:rPr>
          <w:rFonts w:hint="eastAsia" w:ascii="仿宋" w:hAnsi="仿宋" w:eastAsia="仿宋" w:cs="仿宋"/>
          <w:b/>
          <w:bCs/>
          <w:color w:val="auto"/>
          <w:spacing w:val="0"/>
          <w:sz w:val="30"/>
          <w:szCs w:val="30"/>
          <w:lang w:val="zh-CN"/>
        </w:rPr>
        <w:t>提前还款未分摊手续费按天计收；</w:t>
      </w:r>
      <w:r>
        <w:rPr>
          <w:rFonts w:hint="default" w:ascii="仿宋" w:hAnsi="仿宋" w:eastAsia="仿宋"/>
          <w:b/>
          <w:bCs/>
          <w:color w:val="auto"/>
          <w:spacing w:val="7"/>
          <w:sz w:val="30"/>
          <w:lang w:val="en-US" w:eastAsia="zh-CN"/>
        </w:rPr>
        <w:t>三期以上部分提前还款未分摊手续费不免除</w:t>
      </w:r>
      <w:r>
        <w:rPr>
          <w:rFonts w:hint="default"/>
          <w:b/>
          <w:bCs/>
          <w:color w:val="auto"/>
          <w:spacing w:val="7"/>
          <w:sz w:val="30"/>
          <w:lang w:val="en-US" w:eastAsia="zh-CN"/>
        </w:rPr>
        <w:t>。</w:t>
      </w:r>
      <w:r>
        <w:rPr>
          <w:rFonts w:hint="eastAsia" w:ascii="仿宋" w:hAnsi="仿宋" w:eastAsia="仿宋" w:cs="仿宋"/>
          <w:b/>
          <w:bCs/>
          <w:color w:val="auto"/>
          <w:spacing w:val="0"/>
          <w:sz w:val="30"/>
          <w:szCs w:val="30"/>
          <w:lang w:val="zh-CN"/>
        </w:rPr>
        <w:t>（“按天计收”为账单日至还款期的实际天数/30*每期摊销手续费，此部分手续费在下一账单计收，后续账期再无分期手续费。）</w:t>
      </w:r>
    </w:p>
    <w:p>
      <w:pPr>
        <w:numPr>
          <w:numId w:val="0"/>
        </w:numPr>
        <w:ind w:firstLine="0" w:firstLineChars="0"/>
        <w:rPr>
          <w:rFonts w:ascii="仿宋" w:hAnsi="仿宋" w:eastAsia="仿宋" w:cs="仿宋"/>
          <w:b/>
          <w:bCs/>
          <w:sz w:val="30"/>
          <w:szCs w:val="30"/>
        </w:rPr>
      </w:pPr>
      <w:r>
        <w:rPr>
          <w:rFonts w:hint="eastAsia" w:ascii="仿宋" w:hAnsi="仿宋" w:eastAsia="仿宋" w:cs="仿宋"/>
          <w:b/>
          <w:bCs/>
          <w:sz w:val="30"/>
          <w:szCs w:val="30"/>
          <w:lang w:val="en-US" w:eastAsia="zh-CN"/>
        </w:rPr>
        <w:t xml:space="preserve">    9、</w:t>
      </w:r>
      <w:r>
        <w:rPr>
          <w:rFonts w:hint="eastAsia" w:ascii="仿宋" w:hAnsi="仿宋" w:eastAsia="仿宋" w:cs="仿宋"/>
          <w:b/>
          <w:bCs/>
          <w:sz w:val="30"/>
          <w:szCs w:val="30"/>
        </w:rPr>
        <w:t>自动分期每期应还本金和手续费遵循下述规定：</w:t>
      </w:r>
    </w:p>
    <w:p>
      <w:pPr>
        <w:rPr>
          <w:rFonts w:ascii="仿宋" w:hAnsi="仿宋" w:eastAsia="仿宋" w:cs="仿宋"/>
          <w:b/>
          <w:bCs/>
          <w:sz w:val="30"/>
          <w:szCs w:val="30"/>
        </w:rPr>
      </w:pPr>
      <w:r>
        <w:rPr>
          <w:rFonts w:hint="eastAsia" w:ascii="仿宋" w:hAnsi="仿宋" w:eastAsia="仿宋" w:cs="仿宋"/>
          <w:b/>
          <w:bCs/>
          <w:sz w:val="30"/>
          <w:szCs w:val="30"/>
        </w:rPr>
        <w:t xml:space="preserve">    （1）自动分期手续费等于分期本金总额乘以分期手续费率，每期手续费随入账本金计入信用卡账单，一经收取，不予退还。</w:t>
      </w:r>
    </w:p>
    <w:p>
      <w:pPr>
        <w:rPr>
          <w:rFonts w:ascii="仿宋" w:hAnsi="仿宋" w:eastAsia="仿宋" w:cs="仿宋"/>
          <w:b/>
          <w:bCs/>
          <w:sz w:val="30"/>
          <w:szCs w:val="30"/>
        </w:rPr>
      </w:pPr>
      <w:r>
        <w:rPr>
          <w:rFonts w:hint="eastAsia" w:ascii="仿宋" w:hAnsi="仿宋" w:eastAsia="仿宋" w:cs="仿宋"/>
          <w:b/>
          <w:bCs/>
          <w:sz w:val="30"/>
          <w:szCs w:val="30"/>
        </w:rPr>
        <w:t xml:space="preserve">    （2）每期应还本金采取月均等额扣账款的方式，取整后入账，即总金额无法整除期数时，剩余金额全部在首次入账金额中进行扣账。</w:t>
      </w:r>
    </w:p>
    <w:p>
      <w:pPr>
        <w:rPr>
          <w:rFonts w:ascii="仿宋" w:hAnsi="仿宋" w:eastAsia="仿宋" w:cs="仿宋"/>
          <w:b/>
          <w:bCs/>
          <w:sz w:val="30"/>
          <w:szCs w:val="30"/>
        </w:rPr>
      </w:pPr>
      <w:r>
        <w:rPr>
          <w:rFonts w:hint="eastAsia" w:ascii="仿宋" w:hAnsi="仿宋" w:eastAsia="仿宋" w:cs="仿宋"/>
          <w:b/>
          <w:bCs/>
          <w:sz w:val="30"/>
          <w:szCs w:val="30"/>
        </w:rPr>
        <w:t xml:space="preserve">    （3）每期应还本金将全额计入信用卡最低还款额。</w:t>
      </w:r>
    </w:p>
    <w:p>
      <w:pPr>
        <w:rPr>
          <w:rFonts w:ascii="仿宋" w:hAnsi="仿宋" w:eastAsia="仿宋" w:cs="仿宋"/>
          <w:b/>
          <w:bCs/>
          <w:sz w:val="30"/>
          <w:szCs w:val="30"/>
        </w:rPr>
      </w:pPr>
      <w:r>
        <w:rPr>
          <w:rFonts w:hint="eastAsia" w:ascii="仿宋" w:hAnsi="仿宋" w:eastAsia="仿宋" w:cs="仿宋"/>
          <w:b/>
          <w:bCs/>
          <w:sz w:val="30"/>
          <w:szCs w:val="30"/>
        </w:rPr>
        <w:t xml:space="preserve">    （4）若按期缴付信用卡账款后仍有多余款项时，该款项将被视为溢缴款，不会提前清偿自动分期本金部分。</w:t>
      </w:r>
    </w:p>
    <w:p>
      <w:pPr>
        <w:rPr>
          <w:rFonts w:ascii="仿宋" w:hAnsi="仿宋" w:eastAsia="仿宋" w:cs="仿宋"/>
          <w:sz w:val="30"/>
          <w:szCs w:val="30"/>
        </w:rPr>
      </w:pPr>
      <w:r>
        <w:rPr>
          <w:rFonts w:hint="eastAsia" w:ascii="仿宋" w:hAnsi="仿宋" w:eastAsia="仿宋" w:cs="仿宋"/>
          <w:b/>
          <w:bCs/>
          <w:sz w:val="30"/>
          <w:szCs w:val="30"/>
        </w:rPr>
        <w:t xml:space="preserve">    （5）自动分期申请成功后，分期金额所占额度将被暂时占用，偿还一期释放一期，直至最后一期或提前清偿所有分期余额。</w:t>
      </w:r>
    </w:p>
    <w:p>
      <w:pPr>
        <w:rPr>
          <w:rFonts w:ascii="仿宋" w:hAnsi="仿宋" w:eastAsia="仿宋" w:cs="仿宋"/>
          <w:sz w:val="30"/>
          <w:szCs w:val="30"/>
        </w:rPr>
      </w:pPr>
      <w:r>
        <w:rPr>
          <w:rFonts w:hint="eastAsia" w:ascii="仿宋" w:hAnsi="仿宋" w:eastAsia="仿宋" w:cs="仿宋"/>
          <w:sz w:val="30"/>
          <w:szCs w:val="30"/>
        </w:rPr>
        <w:t xml:space="preserve">    </w:t>
      </w:r>
      <w:r>
        <w:rPr>
          <w:rFonts w:hint="eastAsia" w:ascii="仿宋" w:hAnsi="仿宋" w:eastAsia="仿宋" w:cs="仿宋"/>
          <w:sz w:val="30"/>
          <w:szCs w:val="30"/>
          <w:lang w:val="en-US" w:eastAsia="zh-CN"/>
        </w:rPr>
        <w:t>10、</w:t>
      </w:r>
      <w:r>
        <w:rPr>
          <w:rFonts w:hint="eastAsia" w:ascii="仿宋" w:hAnsi="仿宋" w:eastAsia="仿宋" w:cs="仿宋"/>
          <w:sz w:val="30"/>
          <w:szCs w:val="30"/>
        </w:rPr>
        <w:t>本行有权在其认为可能导致客户无法或不履行本业务规则、信用卡领用合约或章程的责任的事件已经发生或可能发生的情况下，认定持卡人的账户不再适合进行自动分期业务。一旦认定，</w:t>
      </w:r>
      <w:r>
        <w:rPr>
          <w:rFonts w:hint="eastAsia" w:ascii="仿宋" w:hAnsi="仿宋" w:eastAsia="仿宋" w:cs="仿宋"/>
          <w:sz w:val="30"/>
          <w:szCs w:val="30"/>
          <w:lang w:val="en-US" w:eastAsia="zh-CN"/>
        </w:rPr>
        <w:t>则客户将不再适用自动分期付款业务，且</w:t>
      </w:r>
      <w:r>
        <w:rPr>
          <w:rFonts w:hint="eastAsia" w:ascii="仿宋" w:hAnsi="仿宋" w:eastAsia="仿宋" w:cs="仿宋"/>
          <w:sz w:val="30"/>
          <w:szCs w:val="30"/>
        </w:rPr>
        <w:t>客户应</w:t>
      </w:r>
      <w:r>
        <w:rPr>
          <w:rFonts w:hint="eastAsia" w:ascii="仿宋" w:hAnsi="仿宋" w:eastAsia="仿宋" w:cs="仿宋"/>
          <w:sz w:val="30"/>
          <w:szCs w:val="30"/>
          <w:lang w:val="en-US" w:eastAsia="zh-CN"/>
        </w:rPr>
        <w:t>一次性</w:t>
      </w:r>
      <w:r>
        <w:rPr>
          <w:rFonts w:hint="eastAsia" w:ascii="仿宋" w:hAnsi="仿宋" w:eastAsia="仿宋" w:cs="仿宋"/>
          <w:sz w:val="30"/>
          <w:szCs w:val="30"/>
        </w:rPr>
        <w:t>偿还全部欠款（包括但不限于未偿付分期余额和未偿付分期手续费），已经扣收的分期手续费不予退还。该类情况包括但不限于：</w:t>
      </w:r>
    </w:p>
    <w:p>
      <w:pPr>
        <w:pStyle w:val="10"/>
        <w:ind w:firstLine="0" w:firstLineChars="0"/>
        <w:rPr>
          <w:rFonts w:ascii="仿宋" w:hAnsi="仿宋" w:eastAsia="仿宋" w:cs="仿宋"/>
          <w:sz w:val="30"/>
          <w:szCs w:val="30"/>
        </w:rPr>
      </w:pPr>
      <w:r>
        <w:rPr>
          <w:rFonts w:hint="eastAsia" w:ascii="仿宋" w:hAnsi="仿宋" w:eastAsia="仿宋" w:cs="仿宋"/>
          <w:sz w:val="30"/>
          <w:szCs w:val="30"/>
        </w:rPr>
        <w:t xml:space="preserve">    （1）信用卡因任何原因被客户本人或本行取消、冻结、终止或出现其他异常情况；</w:t>
      </w:r>
    </w:p>
    <w:p>
      <w:pPr>
        <w:pStyle w:val="10"/>
        <w:ind w:firstLine="0" w:firstLineChars="0"/>
        <w:rPr>
          <w:rFonts w:ascii="仿宋" w:hAnsi="仿宋" w:eastAsia="仿宋" w:cs="仿宋"/>
          <w:sz w:val="30"/>
          <w:szCs w:val="30"/>
        </w:rPr>
      </w:pPr>
      <w:r>
        <w:rPr>
          <w:rFonts w:hint="eastAsia" w:ascii="仿宋" w:hAnsi="仿宋" w:eastAsia="仿宋" w:cs="仿宋"/>
          <w:sz w:val="30"/>
          <w:szCs w:val="30"/>
        </w:rPr>
        <w:t xml:space="preserve">    （2）客户未按期缴付任何未付金额或信用卡账户中的任何其他结欠款项；</w:t>
      </w:r>
    </w:p>
    <w:p>
      <w:pPr>
        <w:pStyle w:val="10"/>
        <w:ind w:firstLine="0" w:firstLineChars="0"/>
        <w:rPr>
          <w:rFonts w:ascii="仿宋" w:hAnsi="仿宋" w:eastAsia="仿宋" w:cs="仿宋"/>
          <w:sz w:val="30"/>
          <w:szCs w:val="30"/>
        </w:rPr>
      </w:pPr>
      <w:r>
        <w:rPr>
          <w:rFonts w:hint="eastAsia" w:ascii="仿宋" w:hAnsi="仿宋" w:eastAsia="仿宋" w:cs="仿宋"/>
          <w:sz w:val="30"/>
          <w:szCs w:val="30"/>
        </w:rPr>
        <w:t xml:space="preserve">    （3）客户违反了长安银行信用卡领用合约、章程及本业务规则中的任何规定；</w:t>
      </w:r>
    </w:p>
    <w:p>
      <w:pPr>
        <w:pStyle w:val="10"/>
        <w:ind w:firstLine="0" w:firstLineChars="0"/>
        <w:rPr>
          <w:rFonts w:ascii="仿宋" w:hAnsi="仿宋" w:eastAsia="仿宋" w:cs="仿宋"/>
          <w:sz w:val="30"/>
          <w:szCs w:val="30"/>
        </w:rPr>
      </w:pPr>
      <w:r>
        <w:rPr>
          <w:rFonts w:hint="eastAsia" w:ascii="仿宋" w:hAnsi="仿宋" w:eastAsia="仿宋" w:cs="仿宋"/>
          <w:sz w:val="30"/>
          <w:szCs w:val="30"/>
        </w:rPr>
        <w:t xml:space="preserve">    （4）本行认为任何可能导致客户无法或不履行其在此条款及细则或领用合约下的责任事件已经发生或可能发生。</w:t>
      </w:r>
    </w:p>
    <w:p>
      <w:pPr>
        <w:pStyle w:val="10"/>
        <w:ind w:firstLine="0" w:firstLineChars="0"/>
        <w:rPr>
          <w:rFonts w:ascii="仿宋" w:hAnsi="仿宋" w:eastAsia="仿宋" w:cs="仿宋"/>
          <w:sz w:val="30"/>
          <w:szCs w:val="30"/>
        </w:rPr>
      </w:pPr>
      <w:r>
        <w:rPr>
          <w:rFonts w:hint="eastAsia" w:ascii="仿宋" w:hAnsi="仿宋" w:eastAsia="仿宋" w:cs="仿宋"/>
          <w:sz w:val="30"/>
          <w:szCs w:val="30"/>
        </w:rPr>
        <w:t xml:space="preserve">    （5）其他提前结清欠款情况均不退还应收手续费。</w:t>
      </w:r>
    </w:p>
    <w:p>
      <w:pPr>
        <w:numPr>
          <w:numId w:val="0"/>
        </w:numPr>
        <w:ind w:firstLine="0" w:firstLineChars="0"/>
        <w:rPr>
          <w:rFonts w:ascii="仿宋" w:hAnsi="仿宋" w:eastAsia="仿宋" w:cs="仿宋"/>
          <w:sz w:val="30"/>
          <w:szCs w:val="30"/>
        </w:rPr>
      </w:pPr>
      <w:r>
        <w:rPr>
          <w:rFonts w:hint="eastAsia" w:ascii="仿宋" w:hAnsi="仿宋" w:eastAsia="仿宋" w:cs="仿宋"/>
          <w:sz w:val="30"/>
          <w:szCs w:val="30"/>
          <w:lang w:val="en-US" w:eastAsia="zh-CN"/>
        </w:rPr>
        <w:t xml:space="preserve">    11、</w:t>
      </w:r>
      <w:r>
        <w:rPr>
          <w:rFonts w:hint="eastAsia" w:ascii="仿宋" w:hAnsi="仿宋" w:eastAsia="仿宋" w:cs="仿宋"/>
          <w:sz w:val="30"/>
          <w:szCs w:val="30"/>
        </w:rPr>
        <w:t>本行有权根据自身风险管控因素、持卡人的信用状况或违约情况，要求持卡人在指定期限内全额偿还所有欠款。所有欠款包括但不限于未还本金、利息、违约金以及其他一切相关费用等。</w:t>
      </w:r>
    </w:p>
    <w:p>
      <w:pPr>
        <w:numPr>
          <w:numId w:val="0"/>
        </w:numPr>
        <w:ind w:firstLine="0" w:firstLineChars="0"/>
        <w:rPr>
          <w:rFonts w:ascii="仿宋" w:hAnsi="仿宋" w:eastAsia="仿宋" w:cs="仿宋"/>
          <w:b/>
          <w:bCs/>
          <w:sz w:val="30"/>
          <w:szCs w:val="30"/>
        </w:rPr>
      </w:pPr>
      <w:r>
        <w:rPr>
          <w:rFonts w:hint="eastAsia" w:ascii="仿宋" w:hAnsi="仿宋" w:eastAsia="仿宋" w:cs="仿宋"/>
          <w:sz w:val="30"/>
          <w:szCs w:val="30"/>
          <w:lang w:val="en-US" w:eastAsia="zh-CN"/>
        </w:rPr>
        <w:t xml:space="preserve">    12、</w:t>
      </w:r>
      <w:r>
        <w:rPr>
          <w:rFonts w:hint="eastAsia" w:ascii="仿宋" w:hAnsi="仿宋" w:eastAsia="仿宋" w:cs="仿宋"/>
          <w:sz w:val="30"/>
          <w:szCs w:val="30"/>
        </w:rPr>
        <w:t>京东自动分期联名卡设定有效期，卡片到期自动失效。卡片到期前，本行依据国家相关规定及持卡人历史用卡记录，有权决定是否为持卡人更换新卡。本行中止、停止持卡人使用信用卡的，卡片提前失效。</w:t>
      </w:r>
      <w:r>
        <w:rPr>
          <w:rFonts w:hint="eastAsia" w:ascii="仿宋" w:hAnsi="仿宋" w:eastAsia="仿宋" w:cs="仿宋"/>
          <w:b/>
          <w:bCs/>
          <w:sz w:val="30"/>
          <w:szCs w:val="30"/>
        </w:rPr>
        <w:t>卡片所发生的债务不因卡片到期而失效。持卡人可以申请到期不续卡，但卡片中存续的分期交易应一次性结清账务，否则本行有权拒绝持卡人的申请。</w:t>
      </w:r>
    </w:p>
    <w:p>
      <w:pPr>
        <w:numPr>
          <w:numId w:val="0"/>
        </w:numPr>
        <w:ind w:firstLine="0" w:firstLineChars="0"/>
        <w:rPr>
          <w:rFonts w:ascii="仿宋" w:hAnsi="仿宋" w:eastAsia="仿宋" w:cs="仿宋"/>
          <w:b/>
          <w:bCs/>
          <w:sz w:val="30"/>
          <w:szCs w:val="30"/>
        </w:rPr>
      </w:pPr>
      <w:r>
        <w:rPr>
          <w:rFonts w:hint="eastAsia" w:ascii="仿宋" w:hAnsi="仿宋" w:eastAsia="仿宋" w:cs="仿宋"/>
          <w:b/>
          <w:bCs/>
          <w:sz w:val="30"/>
          <w:szCs w:val="30"/>
          <w:lang w:val="en-US" w:eastAsia="zh-CN"/>
        </w:rPr>
        <w:t xml:space="preserve">    13、</w:t>
      </w:r>
      <w:r>
        <w:rPr>
          <w:rFonts w:hint="eastAsia" w:ascii="仿宋" w:hAnsi="仿宋" w:eastAsia="仿宋" w:cs="仿宋"/>
          <w:b/>
          <w:bCs/>
          <w:sz w:val="30"/>
          <w:szCs w:val="30"/>
        </w:rPr>
        <w:t>持卡人申请京东自动分期联名卡需确认已全部阅读并理解、接受本细则及《长安银行信用卡章程》、《长安银行信用卡领用合约》等银行业务条款，包括在银行合理提请下已注意其中免除或限制银行责任的条款，未明了之处也已向银行要求解释并已得到满意答复。</w:t>
      </w:r>
    </w:p>
    <w:p>
      <w:pPr>
        <w:numPr>
          <w:numId w:val="0"/>
        </w:numPr>
        <w:ind w:firstLine="0" w:firstLineChars="0"/>
        <w:rPr>
          <w:rFonts w:ascii="仿宋" w:hAnsi="仿宋" w:eastAsia="仿宋" w:cs="仿宋"/>
          <w:sz w:val="30"/>
          <w:szCs w:val="30"/>
        </w:rPr>
      </w:pPr>
      <w:r>
        <w:rPr>
          <w:rFonts w:hint="eastAsia" w:ascii="仿宋" w:hAnsi="仿宋" w:eastAsia="仿宋" w:cs="仿宋"/>
          <w:sz w:val="30"/>
          <w:szCs w:val="30"/>
          <w:lang w:val="en-US" w:eastAsia="zh-CN"/>
        </w:rPr>
        <w:t xml:space="preserve">    14、</w:t>
      </w:r>
      <w:r>
        <w:rPr>
          <w:rFonts w:hint="eastAsia" w:ascii="仿宋" w:hAnsi="仿宋" w:eastAsia="仿宋" w:cs="仿宋"/>
          <w:sz w:val="30"/>
          <w:szCs w:val="30"/>
        </w:rPr>
        <w:t>本细则未尽事宜，依据《长安银行信用卡章程》、《长安银行信用卡领用合约》等条款办理及相关法律、法规执行。</w:t>
      </w:r>
    </w:p>
    <w:sectPr>
      <w:pgSz w:w="11906" w:h="16838"/>
      <w:pgMar w:top="1440" w:right="1800" w:bottom="1440" w:left="180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Blackoak Std">
    <w:altName w:val="Microsoft YaHei UI"/>
    <w:panose1 w:val="00000000000000000000"/>
    <w:charset w:val="00"/>
    <w:family w:val="auto"/>
    <w:pitch w:val="default"/>
    <w:sig w:usb0="00000000" w:usb1="00000000" w:usb2="00000000" w:usb3="00000000" w:csb0="00040001" w:csb1="00000000"/>
  </w:font>
  <w:font w:name="Microsoft JhengHei">
    <w:panose1 w:val="020B0604030504040204"/>
    <w:charset w:val="88"/>
    <w:family w:val="auto"/>
    <w:pitch w:val="default"/>
    <w:sig w:usb0="00000087" w:usb1="28AF4000" w:usb2="00000016" w:usb3="00000000" w:csb0="00100009" w:csb1="00000000"/>
  </w:font>
  <w:font w:name="Microsoft YaHei UI">
    <w:panose1 w:val="020B0503020204020204"/>
    <w:charset w:val="86"/>
    <w:family w:val="auto"/>
    <w:pitch w:val="default"/>
    <w:sig w:usb0="80000287" w:usb1="28C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97889791">
    <w:nsid w:val="5F3DDCFF"/>
    <w:multiLevelType w:val="singleLevel"/>
    <w:tmpl w:val="5F3DDCFF"/>
    <w:lvl w:ilvl="0" w:tentative="1">
      <w:start w:val="3"/>
      <w:numFmt w:val="decimal"/>
      <w:suff w:val="nothing"/>
      <w:lvlText w:val="%1、"/>
      <w:lvlJc w:val="left"/>
      <w:rPr>
        <w:b w:val="0"/>
        <w:bCs w:val="0"/>
      </w:rPr>
    </w:lvl>
  </w:abstractNum>
  <w:num w:numId="1">
    <w:abstractNumId w:val="159788979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99" w:name="annotation text"/>
    <w:lsdException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99"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annotation subject"/>
    <w:lsdException w:uiPriority="99" w:name="Balloon Text"/>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qFormat/>
    <w:uiPriority w:val="1"/>
  </w:style>
  <w:style w:type="paragraph" w:styleId="2">
    <w:name w:val="annotation subject"/>
    <w:basedOn w:val="3"/>
    <w:next w:val="3"/>
    <w:link w:val="16"/>
    <w:semiHidden/>
    <w:unhideWhenUsed/>
    <w:uiPriority w:val="99"/>
    <w:rPr>
      <w:b/>
      <w:bCs/>
    </w:rPr>
  </w:style>
  <w:style w:type="paragraph" w:styleId="3">
    <w:name w:val="annotation text"/>
    <w:basedOn w:val="1"/>
    <w:link w:val="15"/>
    <w:semiHidden/>
    <w:unhideWhenUsed/>
    <w:uiPriority w:val="99"/>
    <w:pPr>
      <w:jc w:val="left"/>
    </w:pPr>
  </w:style>
  <w:style w:type="paragraph" w:styleId="4">
    <w:name w:val="Body Text"/>
    <w:basedOn w:val="1"/>
    <w:semiHidden/>
    <w:unhideWhenUsed/>
    <w:uiPriority w:val="0"/>
    <w:pPr>
      <w:spacing w:before="22"/>
      <w:ind w:left="120" w:firstLine="600"/>
    </w:pPr>
    <w:rPr>
      <w:rFonts w:ascii="仿宋" w:hAnsi="仿宋" w:eastAsia="仿宋"/>
      <w:sz w:val="30"/>
      <w:szCs w:val="30"/>
    </w:rPr>
  </w:style>
  <w:style w:type="paragraph" w:styleId="5">
    <w:name w:val="Balloon Text"/>
    <w:basedOn w:val="1"/>
    <w:link w:val="14"/>
    <w:semiHidden/>
    <w:unhideWhenUsed/>
    <w:uiPriority w:val="99"/>
    <w:rPr>
      <w:sz w:val="18"/>
      <w:szCs w:val="18"/>
    </w:rPr>
  </w:style>
  <w:style w:type="paragraph" w:styleId="6">
    <w:name w:val="footer"/>
    <w:basedOn w:val="1"/>
    <w:link w:val="13"/>
    <w:unhideWhenUsed/>
    <w:qFormat/>
    <w:uiPriority w:val="99"/>
    <w:pPr>
      <w:tabs>
        <w:tab w:val="center" w:pos="4153"/>
        <w:tab w:val="right" w:pos="8306"/>
      </w:tabs>
      <w:snapToGrid w:val="0"/>
      <w:jc w:val="left"/>
    </w:pPr>
    <w:rPr>
      <w:sz w:val="18"/>
      <w:szCs w:val="18"/>
    </w:rPr>
  </w:style>
  <w:style w:type="paragraph" w:styleId="7">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character" w:styleId="9">
    <w:name w:val="annotation reference"/>
    <w:semiHidden/>
    <w:unhideWhenUsed/>
    <w:uiPriority w:val="99"/>
    <w:rPr>
      <w:sz w:val="21"/>
      <w:szCs w:val="21"/>
    </w:rPr>
  </w:style>
  <w:style w:type="paragraph" w:customStyle="1" w:styleId="10">
    <w:name w:val="列表段落1"/>
    <w:basedOn w:val="1"/>
    <w:qFormat/>
    <w:uiPriority w:val="34"/>
    <w:pPr>
      <w:ind w:firstLine="420" w:firstLineChars="200"/>
    </w:pPr>
  </w:style>
  <w:style w:type="paragraph" w:customStyle="1" w:styleId="11">
    <w:name w:val="Table Paragraph"/>
    <w:basedOn w:val="1"/>
    <w:qFormat/>
    <w:uiPriority w:val="1"/>
  </w:style>
  <w:style w:type="character" w:customStyle="1" w:styleId="12">
    <w:name w:val="页眉 字符"/>
    <w:link w:val="7"/>
    <w:uiPriority w:val="99"/>
    <w:rPr>
      <w:sz w:val="18"/>
      <w:szCs w:val="18"/>
    </w:rPr>
  </w:style>
  <w:style w:type="character" w:customStyle="1" w:styleId="13">
    <w:name w:val="页脚 字符"/>
    <w:link w:val="6"/>
    <w:uiPriority w:val="99"/>
    <w:rPr>
      <w:sz w:val="18"/>
      <w:szCs w:val="18"/>
    </w:rPr>
  </w:style>
  <w:style w:type="character" w:customStyle="1" w:styleId="14">
    <w:name w:val="批注框文本 字符"/>
    <w:link w:val="5"/>
    <w:uiPriority w:val="99"/>
    <w:rPr>
      <w:sz w:val="18"/>
      <w:szCs w:val="18"/>
    </w:rPr>
  </w:style>
  <w:style w:type="character" w:customStyle="1" w:styleId="15">
    <w:name w:val="批注文字 字符"/>
    <w:basedOn w:val="8"/>
    <w:link w:val="3"/>
    <w:uiPriority w:val="99"/>
    <w:rPr/>
  </w:style>
  <w:style w:type="character" w:customStyle="1" w:styleId="16">
    <w:name w:val="批注主题 字符"/>
    <w:link w:val="2"/>
    <w:uiPriority w:val="99"/>
    <w:rPr>
      <w:b/>
      <w:bCs/>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oleObject" Target="embeddings/oleObject1.bin"/><Relationship Id="rId6" Type="http://schemas.openxmlformats.org/officeDocument/2006/relationships/image" Target="media/image1.wmf"/><Relationship Id="rId7" Type="http://schemas.openxmlformats.org/officeDocument/2006/relationships/oleObject" Target="embeddings/oleObject2.bin"/><Relationship Id="rId8" Type="http://schemas.openxmlformats.org/officeDocument/2006/relationships/oleObject" Target="embeddings/oleObject3.bin"/><Relationship Id="rId9"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4</Pages>
  <Words>306</Words>
  <Characters>1745</Characters>
  <Lines>14</Lines>
  <Paragraphs>4</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2019-03-13T07:07:00Z</dcterms:created>
  <dc:creator>章慧亮</dc:creator>
  <cp:lastModifiedBy>刘艮萍</cp:lastModifiedBy>
  <cp:lastPrinted>2018-09-18T09:05:00Z</cp:lastPrinted>
  <dcterms:modified xsi:type="dcterms:W3CDTF">2021-07-14T01:13:42Z</dcterms:modified>
  <dc:title>长安银行信用卡自动分期业务规则</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