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before="480" w:after="480" w:line="288" w:lineRule="auto"/>
        <w:ind w:left="0"/>
        <w:jc w:val="center"/>
        <w:rPr>
          <w:rFonts w:ascii="方正公文小标宋" w:eastAsia="方正公文小标宋" w:cs="方正公文小标宋" w:hAnsi="方正公文小标宋" w:hint="eastAsia"/>
          <w:b w:val="0"/>
          <w:bCs/>
          <w:sz w:val="36"/>
          <w:szCs w:val="36"/>
        </w:rPr>
      </w:pPr>
      <w:bookmarkStart w:id="0" w:name="_GoBack"/>
      <w:bookmarkEnd w:id="0"/>
      <w:r>
        <w:rPr>
          <w:rFonts w:ascii="方正公文小标宋" w:eastAsia="方正公文小标宋" w:cs="方正公文小标宋" w:hAnsi="方正公文小标宋" w:hint="eastAsia"/>
          <w:b w:val="0"/>
          <w:bCs/>
          <w:sz w:val="36"/>
          <w:szCs w:val="36"/>
        </w:rPr>
        <w:t>基金产品风险</w:t>
      </w:r>
      <w:r>
        <w:rPr>
          <w:rFonts w:ascii="方正公文小标宋" w:eastAsia="方正公文小标宋" w:cs="方正公文小标宋" w:hAnsi="方正公文小标宋" w:hint="eastAsia"/>
          <w:b w:val="0"/>
          <w:bCs/>
          <w:sz w:val="36"/>
          <w:szCs w:val="36"/>
          <w:lang w:val="en-US" w:eastAsia="zh-CN"/>
        </w:rPr>
        <w:t>评级</w:t>
      </w:r>
      <w:r>
        <w:rPr>
          <w:rFonts w:ascii="方正公文小标宋" w:eastAsia="方正公文小标宋" w:cs="方正公文小标宋" w:hAnsi="方正公文小标宋" w:hint="eastAsia"/>
          <w:b w:val="0"/>
          <w:bCs/>
          <w:sz w:val="36"/>
          <w:szCs w:val="36"/>
        </w:rPr>
        <w:t>及投资者适当性匹配规则公示</w:t>
      </w:r>
    </w:p>
    <w:p>
      <w:pPr>
        <w:spacing w:before="120" w:after="120" w:line="288" w:lineRule="auto"/>
        <w:ind w:left="0" w:firstLineChars="200" w:firstLine="64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为严格落实公募基金代销业务适当性管理监管要求，规范产品风险评级与客户投资匹配管理，保障投资者合法权益，现将我行基金产品风险</w:t>
      </w:r>
      <w:r>
        <w:rPr>
          <w:rFonts w:ascii="仿宋_GB2312" w:eastAsia="仿宋_GB2312" w:cs="仿宋_GB2312" w:hAnsi="仿宋_GB2312" w:hint="eastAsia"/>
          <w:sz w:val="32"/>
          <w:szCs w:val="32"/>
          <w:lang w:val="en-US" w:eastAsia="zh-CN"/>
        </w:rPr>
        <w:t>评级</w:t>
      </w:r>
      <w:r>
        <w:rPr>
          <w:rFonts w:ascii="仿宋_GB2312" w:eastAsia="仿宋_GB2312" w:cs="仿宋_GB2312" w:hAnsi="仿宋_GB2312" w:hint="eastAsia"/>
          <w:sz w:val="32"/>
          <w:szCs w:val="32"/>
        </w:rPr>
        <w:t>标准、客户风险评级及适当性匹配原则公示如下：</w:t>
      </w:r>
    </w:p>
    <w:p>
      <w:pPr>
        <w:spacing w:before="320" w:after="120" w:line="288" w:lineRule="auto"/>
        <w:ind w:left="0" w:firstLineChars="200" w:firstLine="640"/>
        <w:jc w:val="left"/>
        <w:outlineLvl w:val="1"/>
        <w:rPr>
          <w:rFonts w:ascii="楷体" w:eastAsia="楷体" w:cs="楷体" w:hAnsi="楷体" w:hint="eastAsia"/>
          <w:sz w:val="32"/>
          <w:szCs w:val="32"/>
        </w:rPr>
      </w:pPr>
      <w:bookmarkStart w:id="1" w:name="heading_0"/>
      <w:r>
        <w:rPr>
          <w:rFonts w:ascii="楷体" w:eastAsia="楷体" w:cs="楷体" w:hAnsi="楷体" w:hint="eastAsia"/>
          <w:b/>
          <w:sz w:val="32"/>
          <w:szCs w:val="32"/>
        </w:rPr>
        <w:t>一、基金产品风险评价标准</w:t>
      </w:r>
      <w:bookmarkEnd w:id="1"/>
    </w:p>
    <w:p>
      <w:pPr>
        <w:spacing w:before="120" w:after="120" w:line="288" w:lineRule="auto"/>
        <w:ind w:left="0" w:firstLineChars="200" w:firstLine="640"/>
        <w:jc w:val="left"/>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rPr>
        <w:t>我行</w:t>
      </w:r>
      <w:r>
        <w:rPr>
          <w:rFonts w:ascii="仿宋_GB2312" w:eastAsia="仿宋_GB2312" w:cs="仿宋_GB2312" w:hAnsi="仿宋_GB2312" w:hint="eastAsia"/>
          <w:sz w:val="32"/>
          <w:szCs w:val="32"/>
          <w:lang w:val="en-US" w:eastAsia="zh-CN"/>
        </w:rPr>
        <w:t>采购具备评价资格的济安金信基金评价公司的产品风险等级评价服务，最终产品风险等级确定采用</w:t>
      </w:r>
      <w:r>
        <w:rPr>
          <w:rFonts w:ascii="仿宋_GB2312" w:eastAsia="仿宋_GB2312" w:cs="仿宋_GB2312" w:hAnsi="仿宋_GB2312" w:hint="eastAsia"/>
          <w:b/>
          <w:sz w:val="32"/>
          <w:szCs w:val="32"/>
        </w:rPr>
        <w:t>“济安金信第三方评级+基金管理人评级、孰高取值”</w:t>
      </w:r>
      <w:r>
        <w:rPr>
          <w:rFonts w:ascii="仿宋_GB2312" w:eastAsia="仿宋_GB2312" w:cs="仿宋_GB2312" w:hAnsi="仿宋_GB2312" w:hint="eastAsia"/>
          <w:sz w:val="32"/>
          <w:szCs w:val="32"/>
        </w:rPr>
        <w:t>原则确定</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即对比两组评级结果，选取风险等级更高一档作为我行销售管控使用的产品风险等级。</w:t>
      </w:r>
    </w:p>
    <w:p>
      <w:pPr>
        <w:spacing w:before="120" w:after="120" w:line="288" w:lineRule="auto"/>
        <w:ind w:left="0" w:firstLineChars="200" w:firstLine="640"/>
        <w:jc w:val="left"/>
        <w:rPr>
          <w:rFonts w:ascii="仿宋_GB2312" w:eastAsia="仿宋_GB2312" w:cs="仿宋_GB2312" w:hAnsi="仿宋_GB2312" w:hint="eastAsia"/>
          <w:sz w:val="32"/>
          <w:szCs w:val="32"/>
        </w:rPr>
      </w:pPr>
      <w:r>
        <w:rPr>
          <w:rFonts w:ascii="仿宋_GB2312" w:eastAsia="仿宋_GB2312" w:cs="仿宋_GB2312" w:hAnsi="仿宋_GB2312" w:hint="eastAsia"/>
          <w:b/>
          <w:sz w:val="32"/>
          <w:szCs w:val="32"/>
        </w:rPr>
        <w:t>产品风险等级划分由低至高</w:t>
      </w:r>
      <w:r>
        <w:rPr>
          <w:rFonts w:ascii="仿宋_GB2312" w:eastAsia="仿宋_GB2312" w:cs="仿宋_GB2312" w:hAnsi="仿宋_GB2312" w:hint="eastAsia"/>
          <w:b/>
          <w:sz w:val="32"/>
          <w:szCs w:val="32"/>
          <w:lang w:val="en-US" w:eastAsia="zh-CN"/>
        </w:rPr>
        <w:t>分为</w:t>
      </w:r>
      <w:r>
        <w:rPr>
          <w:rFonts w:ascii="仿宋_GB2312" w:eastAsia="仿宋_GB2312" w:cs="仿宋_GB2312" w:hAnsi="仿宋_GB2312" w:hint="eastAsia"/>
          <w:sz w:val="32"/>
          <w:szCs w:val="32"/>
        </w:rPr>
        <w:t>：R1（低风险）、R2（中低风险）、R3（中风险）、R4（中高风险）、R5（高风险）。</w:t>
      </w:r>
    </w:p>
    <w:p>
      <w:pPr>
        <w:spacing w:before="120" w:after="120" w:line="288" w:lineRule="auto"/>
        <w:ind w:left="0" w:firstLineChars="200" w:firstLine="640"/>
        <w:jc w:val="left"/>
        <w:rPr>
          <w:rFonts w:ascii="仿宋_GB2312" w:eastAsia="仿宋_GB2312" w:cs="仿宋_GB2312" w:hAnsi="仿宋_GB2312" w:hint="eastAsia"/>
          <w:sz w:val="32"/>
          <w:szCs w:val="32"/>
        </w:rPr>
      </w:pPr>
      <w:r>
        <w:rPr>
          <w:rFonts w:ascii="仿宋_GB2312" w:eastAsia="仿宋_GB2312" w:cs="仿宋_GB2312" w:hAnsi="仿宋_GB2312" w:hint="eastAsia"/>
          <w:b/>
          <w:sz w:val="32"/>
          <w:szCs w:val="32"/>
        </w:rPr>
        <w:t>动态调整机制</w:t>
      </w:r>
      <w:r>
        <w:rPr>
          <w:rFonts w:ascii="仿宋_GB2312" w:eastAsia="仿宋_GB2312" w:cs="仿宋_GB2312" w:hAnsi="仿宋_GB2312" w:hint="eastAsia"/>
          <w:sz w:val="32"/>
          <w:szCs w:val="32"/>
        </w:rPr>
        <w:t>：我行</w:t>
      </w:r>
      <w:r>
        <w:rPr>
          <w:rFonts w:ascii="仿宋_GB2312" w:eastAsia="仿宋_GB2312" w:cs="仿宋_GB2312" w:hAnsi="仿宋_GB2312" w:hint="eastAsia"/>
          <w:sz w:val="32"/>
          <w:szCs w:val="32"/>
          <w:lang w:val="en-US" w:eastAsia="zh-CN"/>
        </w:rPr>
        <w:t>根据</w:t>
      </w:r>
      <w:r>
        <w:rPr>
          <w:rFonts w:ascii="仿宋_GB2312" w:eastAsia="仿宋_GB2312" w:cs="仿宋_GB2312" w:hAnsi="仿宋_GB2312" w:hint="eastAsia"/>
          <w:sz w:val="32"/>
          <w:szCs w:val="32"/>
        </w:rPr>
        <w:t>济安金信、基金管理人评级更新情况同步更新</w:t>
      </w:r>
      <w:r>
        <w:rPr>
          <w:rFonts w:ascii="仿宋_GB2312" w:eastAsia="仿宋_GB2312" w:cs="仿宋_GB2312" w:hAnsi="仿宋_GB2312" w:hint="eastAsia"/>
          <w:sz w:val="32"/>
          <w:szCs w:val="32"/>
          <w:lang w:val="en-US" w:eastAsia="zh-CN"/>
        </w:rPr>
        <w:t>渠道展示的</w:t>
      </w:r>
      <w:r>
        <w:rPr>
          <w:rFonts w:ascii="仿宋_GB2312" w:eastAsia="仿宋_GB2312" w:cs="仿宋_GB2312" w:hAnsi="仿宋_GB2312" w:hint="eastAsia"/>
          <w:sz w:val="32"/>
          <w:szCs w:val="32"/>
        </w:rPr>
        <w:t>产品风险等级，确保评级实时合规。</w:t>
      </w:r>
    </w:p>
    <w:p>
      <w:pPr>
        <w:spacing w:before="320" w:after="120" w:line="288" w:lineRule="auto"/>
        <w:ind w:left="0" w:firstLineChars="200" w:firstLine="640"/>
        <w:jc w:val="left"/>
        <w:outlineLvl w:val="1"/>
        <w:rPr>
          <w:rFonts w:ascii="楷体" w:eastAsia="楷体" w:cs="楷体" w:hAnsi="楷体" w:hint="eastAsia"/>
          <w:sz w:val="32"/>
          <w:szCs w:val="32"/>
        </w:rPr>
      </w:pPr>
      <w:bookmarkStart w:id="2" w:name="heading_1"/>
      <w:r>
        <w:rPr>
          <w:rFonts w:ascii="楷体" w:eastAsia="楷体" w:cs="楷体" w:hAnsi="楷体" w:hint="eastAsia"/>
          <w:b/>
          <w:sz w:val="32"/>
          <w:szCs w:val="32"/>
        </w:rPr>
        <w:t>二、客户风险承受能力评级标准</w:t>
      </w:r>
      <w:bookmarkEnd w:id="2"/>
    </w:p>
    <w:p>
      <w:pPr>
        <w:spacing w:before="120" w:after="120" w:line="288" w:lineRule="auto"/>
        <w:ind w:left="0" w:firstLineChars="200" w:firstLine="64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我行通过问卷</w:t>
      </w:r>
      <w:r>
        <w:rPr>
          <w:rFonts w:ascii="仿宋_GB2312" w:eastAsia="仿宋_GB2312" w:cs="仿宋_GB2312" w:hAnsi="仿宋_GB2312" w:hint="eastAsia"/>
          <w:sz w:val="32"/>
          <w:szCs w:val="32"/>
          <w:lang w:val="en-US" w:eastAsia="zh-CN"/>
        </w:rPr>
        <w:t>形式对客户进行风险承受能力的评估调查，</w:t>
      </w:r>
      <w:r>
        <w:rPr>
          <w:rFonts w:ascii="仿宋_GB2312" w:eastAsia="仿宋_GB2312" w:cs="仿宋_GB2312" w:hAnsi="仿宋_GB2312" w:hint="eastAsia"/>
          <w:sz w:val="32"/>
          <w:szCs w:val="32"/>
        </w:rPr>
        <w:t>测评结果有效期</w:t>
      </w:r>
      <w:r>
        <w:rPr>
          <w:rFonts w:ascii="仿宋_GB2312" w:eastAsia="仿宋_GB2312" w:cs="仿宋_GB2312" w:hAnsi="仿宋_GB2312" w:hint="eastAsia"/>
          <w:sz w:val="32"/>
          <w:szCs w:val="32"/>
          <w:lang w:val="en-US" w:eastAsia="zh-CN"/>
        </w:rPr>
        <w:t>12个月</w:t>
      </w:r>
      <w:r>
        <w:rPr>
          <w:rFonts w:ascii="仿宋_GB2312" w:eastAsia="仿宋_GB2312" w:cs="仿宋_GB2312" w:hAnsi="仿宋_GB2312" w:hint="eastAsia"/>
          <w:sz w:val="32"/>
          <w:szCs w:val="32"/>
        </w:rPr>
        <w:t>，根据</w:t>
      </w:r>
      <w:r>
        <w:rPr>
          <w:rFonts w:ascii="仿宋_GB2312" w:eastAsia="仿宋_GB2312" w:cs="仿宋_GB2312" w:hAnsi="仿宋_GB2312" w:hint="eastAsia"/>
          <w:sz w:val="32"/>
          <w:szCs w:val="32"/>
          <w:lang w:val="en-US" w:eastAsia="zh-CN"/>
        </w:rPr>
        <w:t>客户</w:t>
      </w:r>
      <w:r>
        <w:rPr>
          <w:rFonts w:ascii="仿宋_GB2312" w:eastAsia="仿宋_GB2312" w:cs="仿宋_GB2312" w:hAnsi="仿宋_GB2312" w:hint="eastAsia"/>
          <w:sz w:val="32"/>
          <w:szCs w:val="32"/>
        </w:rPr>
        <w:t>风险</w:t>
      </w:r>
      <w:r>
        <w:rPr>
          <w:rFonts w:ascii="仿宋_GB2312" w:eastAsia="仿宋_GB2312" w:cs="仿宋_GB2312" w:hAnsi="仿宋_GB2312" w:hint="eastAsia"/>
          <w:sz w:val="32"/>
          <w:szCs w:val="32"/>
          <w:lang w:val="en-US" w:eastAsia="zh-CN"/>
        </w:rPr>
        <w:t>偏好和风险承受能力，将客户</w:t>
      </w:r>
      <w:r>
        <w:rPr>
          <w:rFonts w:ascii="仿宋_GB2312" w:eastAsia="仿宋_GB2312" w:cs="仿宋_GB2312" w:hAnsi="仿宋_GB2312" w:hint="eastAsia"/>
          <w:sz w:val="32"/>
          <w:szCs w:val="32"/>
        </w:rPr>
        <w:t>划分为五级：C1（谨慎型）、C2（稳健型）、C3（平衡型）、C4（进取型）、C5（激进型）。</w:t>
      </w:r>
    </w:p>
    <w:p>
      <w:pPr>
        <w:spacing w:before="320" w:after="120" w:line="288" w:lineRule="auto"/>
        <w:ind w:left="0" w:firstLineChars="200" w:firstLine="640"/>
        <w:jc w:val="left"/>
        <w:outlineLvl w:val="1"/>
        <w:rPr>
          <w:rFonts w:ascii="楷体" w:eastAsia="楷体" w:cs="楷体" w:hAnsi="楷体" w:hint="eastAsia"/>
          <w:sz w:val="32"/>
          <w:szCs w:val="32"/>
        </w:rPr>
      </w:pPr>
      <w:bookmarkStart w:id="3" w:name="heading_2"/>
      <w:r>
        <w:rPr>
          <w:rFonts w:ascii="楷体" w:eastAsia="楷体" w:cs="楷体" w:hAnsi="楷体" w:hint="eastAsia"/>
          <w:b/>
          <w:sz w:val="32"/>
          <w:szCs w:val="32"/>
        </w:rPr>
        <w:t>三、客户与产品风险匹配原则</w:t>
      </w:r>
      <w:bookmarkEnd w:id="3"/>
    </w:p>
    <w:p>
      <w:pPr>
        <w:spacing w:before="120" w:after="120" w:line="288" w:lineRule="auto"/>
        <w:ind w:left="0" w:firstLineChars="200" w:firstLine="64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我行严格执行监管适当性管理要求，坚持</w:t>
      </w:r>
      <w:r>
        <w:rPr>
          <w:rFonts w:ascii="仿宋_GB2312" w:eastAsia="仿宋_GB2312" w:cs="仿宋_GB2312" w:hAnsi="仿宋_GB2312" w:hint="eastAsia"/>
          <w:b/>
          <w:sz w:val="32"/>
          <w:szCs w:val="32"/>
        </w:rPr>
        <w:t>客户风险承受等级适配高于或等于产品风险等级</w:t>
      </w:r>
      <w:r>
        <w:rPr>
          <w:rFonts w:ascii="仿宋_GB2312" w:eastAsia="仿宋_GB2312" w:cs="仿宋_GB2312" w:hAnsi="仿宋_GB2312" w:hint="eastAsia"/>
          <w:sz w:val="32"/>
          <w:szCs w:val="32"/>
        </w:rPr>
        <w:t>的核心匹配规则，具体适配标准如下：</w:t>
      </w:r>
    </w:p>
    <w:p>
      <w:pPr>
        <w:numPr>
          <w:ilvl w:val="0"/>
          <w:numId w:val="1"/>
        </w:numPr>
        <w:spacing w:before="120" w:after="120" w:line="288" w:lineRule="auto"/>
        <w:ind w:left="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C1谨慎型：仅可投资R1级基金产品</w:t>
      </w:r>
    </w:p>
    <w:p>
      <w:pPr>
        <w:numPr>
          <w:ilvl w:val="0"/>
          <w:numId w:val="2"/>
        </w:numPr>
        <w:spacing w:before="120" w:after="120" w:line="288" w:lineRule="auto"/>
        <w:ind w:left="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C2稳健型：可投资R2</w:t>
      </w:r>
      <w:r>
        <w:rPr>
          <w:rFonts w:ascii="仿宋_GB2312" w:eastAsia="仿宋_GB2312" w:cs="仿宋_GB2312" w:hAnsi="仿宋_GB2312" w:hint="eastAsia"/>
          <w:sz w:val="32"/>
          <w:szCs w:val="32"/>
          <w:lang w:val="en-US" w:eastAsia="zh-CN"/>
        </w:rPr>
        <w:t>级</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含）以下</w:t>
      </w:r>
      <w:r>
        <w:rPr>
          <w:rFonts w:ascii="仿宋_GB2312" w:eastAsia="仿宋_GB2312" w:cs="仿宋_GB2312" w:hAnsi="仿宋_GB2312" w:hint="eastAsia"/>
          <w:sz w:val="32"/>
          <w:szCs w:val="32"/>
        </w:rPr>
        <w:t>基金产品</w:t>
      </w:r>
    </w:p>
    <w:p>
      <w:pPr>
        <w:numPr>
          <w:ilvl w:val="0"/>
          <w:numId w:val="3"/>
        </w:numPr>
        <w:spacing w:before="120" w:after="120" w:line="288" w:lineRule="auto"/>
        <w:ind w:left="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C3平衡型：可投资R3级</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含）以下</w:t>
      </w:r>
      <w:r>
        <w:rPr>
          <w:rFonts w:ascii="仿宋_GB2312" w:eastAsia="仿宋_GB2312" w:cs="仿宋_GB2312" w:hAnsi="仿宋_GB2312" w:hint="eastAsia"/>
          <w:sz w:val="32"/>
          <w:szCs w:val="32"/>
        </w:rPr>
        <w:t>基金产品</w:t>
      </w:r>
    </w:p>
    <w:p>
      <w:pPr>
        <w:numPr>
          <w:ilvl w:val="0"/>
          <w:numId w:val="4"/>
        </w:numPr>
        <w:spacing w:before="120" w:after="120" w:line="288" w:lineRule="auto"/>
        <w:ind w:left="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C4进取型：可投资R4级</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含）以下</w:t>
      </w:r>
      <w:r>
        <w:rPr>
          <w:rFonts w:ascii="仿宋_GB2312" w:eastAsia="仿宋_GB2312" w:cs="仿宋_GB2312" w:hAnsi="仿宋_GB2312" w:hint="eastAsia"/>
          <w:sz w:val="32"/>
          <w:szCs w:val="32"/>
        </w:rPr>
        <w:t>基金产品</w:t>
      </w:r>
    </w:p>
    <w:p>
      <w:pPr>
        <w:numPr>
          <w:ilvl w:val="0"/>
          <w:numId w:val="5"/>
        </w:numPr>
        <w:spacing w:before="120" w:after="120" w:line="288" w:lineRule="auto"/>
        <w:ind w:left="0"/>
        <w:jc w:val="left"/>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C5激进型：可投资R5级</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含）以下</w:t>
      </w:r>
      <w:r>
        <w:rPr>
          <w:rFonts w:ascii="仿宋_GB2312" w:eastAsia="仿宋_GB2312" w:cs="仿宋_GB2312" w:hAnsi="仿宋_GB2312" w:hint="eastAsia"/>
          <w:sz w:val="32"/>
          <w:szCs w:val="32"/>
        </w:rPr>
        <w:t>基金产品</w:t>
      </w:r>
    </w:p>
    <w:p>
      <w:pPr>
        <w:spacing w:before="120" w:after="120" w:line="288" w:lineRule="auto"/>
        <w:ind w:leftChars="152" w:left="319" w:firstLineChars="150" w:firstLine="480"/>
        <w:jc w:val="left"/>
        <w:rPr>
          <w:rFonts w:ascii="仿宋_GB2312" w:eastAsia="仿宋_GB2312" w:cs="仿宋_GB2312" w:hAnsi="仿宋_GB2312" w:hint="eastAsia"/>
          <w:sz w:val="32"/>
          <w:szCs w:val="32"/>
        </w:rPr>
      </w:pPr>
      <w:r>
        <w:rPr>
          <w:rFonts w:ascii="仿宋_GB2312" w:eastAsia="仿宋_GB2312" w:cs="仿宋_GB2312" w:hAnsi="仿宋_GB2312" w:hint="eastAsia"/>
          <w:b/>
          <w:sz w:val="32"/>
          <w:szCs w:val="32"/>
        </w:rPr>
        <w:t>特殊情形</w:t>
      </w:r>
      <w:r>
        <w:rPr>
          <w:rFonts w:ascii="仿宋_GB2312" w:eastAsia="仿宋_GB2312" w:cs="仿宋_GB2312" w:hAnsi="仿宋_GB2312" w:hint="eastAsia"/>
          <w:sz w:val="32"/>
          <w:szCs w:val="32"/>
        </w:rPr>
        <w:t>：C1（谨慎型）</w:t>
      </w:r>
      <w:r>
        <w:rPr>
          <w:rFonts w:ascii="仿宋_GB2312" w:eastAsia="仿宋_GB2312" w:cs="仿宋_GB2312" w:hAnsi="仿宋_GB2312" w:hint="eastAsia"/>
          <w:sz w:val="32"/>
          <w:szCs w:val="32"/>
          <w:lang w:val="en-US" w:eastAsia="zh-CN"/>
        </w:rPr>
        <w:t>客户只能购买</w:t>
      </w:r>
      <w:r>
        <w:rPr>
          <w:rFonts w:ascii="仿宋_GB2312" w:eastAsia="仿宋_GB2312" w:cs="仿宋_GB2312" w:hAnsi="仿宋_GB2312"/>
          <w:sz w:val="32"/>
          <w:szCs w:val="32"/>
          <w:lang w:val="en-US" w:eastAsia="zh-CN"/>
        </w:rPr>
        <w:t>R1(</w:t>
      </w:r>
      <w:r>
        <w:rPr>
          <w:rFonts w:ascii="仿宋_GB2312" w:eastAsia="仿宋_GB2312" w:cs="仿宋_GB2312" w:hAnsi="仿宋_GB2312" w:hint="eastAsia"/>
          <w:sz w:val="32"/>
          <w:szCs w:val="32"/>
          <w:lang w:val="en-US" w:eastAsia="zh-CN"/>
        </w:rPr>
        <w:t>低风险）基金产品，对于</w:t>
      </w:r>
      <w:r>
        <w:rPr>
          <w:rFonts w:ascii="仿宋_GB2312" w:eastAsia="仿宋_GB2312" w:cs="仿宋_GB2312" w:hAnsi="仿宋_GB2312" w:hint="eastAsia"/>
          <w:sz w:val="32"/>
          <w:szCs w:val="32"/>
        </w:rPr>
        <w:t>C1（谨慎型）</w:t>
      </w:r>
      <w:r>
        <w:rPr>
          <w:rFonts w:ascii="仿宋_GB2312" w:eastAsia="仿宋_GB2312" w:cs="仿宋_GB2312" w:hAnsi="仿宋_GB2312" w:hint="eastAsia"/>
          <w:sz w:val="32"/>
          <w:szCs w:val="32"/>
          <w:lang w:val="en-US" w:eastAsia="zh-CN"/>
        </w:rPr>
        <w:t>评级以外的其他类型客户主动要求购买</w:t>
      </w:r>
      <w:r>
        <w:rPr>
          <w:rFonts w:ascii="仿宋_GB2312" w:eastAsia="仿宋_GB2312" w:cs="仿宋_GB2312" w:hAnsi="仿宋_GB2312" w:hint="eastAsia"/>
          <w:sz w:val="32"/>
          <w:szCs w:val="32"/>
        </w:rPr>
        <w:t>高于自身风险等级产品的</w:t>
      </w:r>
      <w:r>
        <w:rPr>
          <w:rFonts w:ascii="仿宋_GB2312" w:eastAsia="仿宋_GB2312" w:cs="仿宋_GB2312" w:hAnsi="仿宋_GB2312" w:hint="eastAsia"/>
          <w:sz w:val="32"/>
          <w:szCs w:val="32"/>
          <w:lang w:val="en-US" w:eastAsia="zh-CN"/>
        </w:rPr>
        <w:t>情况</w:t>
      </w:r>
      <w:r>
        <w:rPr>
          <w:rFonts w:ascii="仿宋_GB2312" w:eastAsia="仿宋_GB2312" w:cs="仿宋_GB2312" w:hAnsi="仿宋_GB2312" w:hint="eastAsia"/>
          <w:sz w:val="32"/>
          <w:szCs w:val="32"/>
        </w:rPr>
        <w:t>，我行将履行专项风险警示</w:t>
      </w:r>
      <w:r>
        <w:rPr>
          <w:rFonts w:ascii="仿宋_GB2312" w:eastAsia="仿宋_GB2312" w:cs="仿宋_GB2312" w:hAnsi="仿宋_GB2312" w:hint="eastAsia"/>
          <w:sz w:val="32"/>
          <w:szCs w:val="32"/>
          <w:lang w:eastAsia="zh-CN"/>
        </w:rPr>
        <w:t>，</w:t>
      </w:r>
      <w:r>
        <w:rPr>
          <w:rFonts w:ascii="仿宋_GB2312" w:eastAsia="仿宋_GB2312" w:cs="仿宋_GB2312" w:hAnsi="仿宋_GB2312" w:hint="eastAsia"/>
          <w:sz w:val="32"/>
          <w:szCs w:val="32"/>
          <w:lang w:val="en-US" w:eastAsia="zh-CN"/>
        </w:rPr>
        <w:t>要求客户在购买产品的同时进行超风险购买确认</w:t>
      </w:r>
      <w:r>
        <w:rPr>
          <w:rFonts w:ascii="仿宋_GB2312" w:eastAsia="仿宋_GB2312" w:cs="仿宋_GB2312" w:hAnsi="仿宋_GB2312" w:hint="eastAsia"/>
          <w:sz w:val="32"/>
          <w:szCs w:val="32"/>
        </w:rPr>
        <w:t>后方可交易。</w:t>
      </w:r>
    </w:p>
    <w:p>
      <w:pPr>
        <w:spacing w:before="120" w:after="120" w:line="288" w:lineRule="auto"/>
        <w:ind w:left="0"/>
        <w:jc w:val="left"/>
        <w:rPr>
          <w:rFonts w:ascii="仿宋_GB2312" w:eastAsia="仿宋_GB2312" w:cs="仿宋_GB2312" w:hAnsi="仿宋_GB2312" w:hint="eastAsia"/>
          <w:b/>
          <w:sz w:val="32"/>
          <w:szCs w:val="32"/>
        </w:rPr>
      </w:pPr>
    </w:p>
    <w:p>
      <w:pPr>
        <w:spacing w:before="120" w:after="120" w:line="288" w:lineRule="auto"/>
        <w:ind w:left="0"/>
        <w:jc w:val="left"/>
        <w:rPr>
          <w:rFonts w:ascii="仿宋_GB2312" w:eastAsia="仿宋_GB2312" w:cs="仿宋_GB2312" w:hAnsi="仿宋_GB2312" w:hint="eastAsia"/>
          <w:sz w:val="32"/>
          <w:szCs w:val="32"/>
        </w:rPr>
      </w:pPr>
    </w:p>
    <w:sectPr>
      <w:headerReference w:type="default" r:id="rId2"/>
      <w:footerReference w:type="default" r:id="rId3"/>
      <w:pgSz w:w="11905" w:h="16840"/>
      <w:pgMar w:top="1440" w:right="1800" w:bottom="1440" w:left="1800" w:header="720" w:footer="720" w:gutter="0"/>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方正公文小标宋">
    <w:altName w:val="方正小标宋_GBK"/>
    <w:panose1 w:val="02000500000000000000"/>
    <w:charset w:val="86"/>
    <w:family w:val="auto"/>
    <w:pitch w:val="variable"/>
    <w:sig w:usb0="A00002BF" w:usb1="38CF7CFA" w:usb2="00000016" w:usb3="00000000" w:csb0="00040001" w:csb1="00000000"/>
  </w:font>
  <w:font w:name="仿宋_GB2312">
    <w:altName w:val="方正仿宋_GBK"/>
    <w:panose1 w:val="00000000000000000000"/>
    <w:charset w:val="00"/>
    <w:family w:val="auto"/>
    <w:pitch w:val="variable"/>
    <w:sig w:usb0="00000000" w:usb1="00000000" w:usb2="00000000" w:usb3="00000000" w:csb0="00000000" w:csb1="00000000"/>
  </w:font>
  <w:font w:name="楷体">
    <w:altName w:val="汉仪楷体KW"/>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宋体">
    <w:altName w:val="汉仪书宋二KW"/>
    <w:panose1 w:val="00000000000000000000"/>
    <w:charset w:val="00"/>
    <w:family w:val="auto"/>
    <w:pitch w:val="variable"/>
    <w:sig w:usb0="00000000" w:usb1="00000000" w:usb2="00000000" w:usb3="00000000" w:csb0="00000000" w:csb1="00000000"/>
  </w:font>
  <w:font w:name="Arial">
    <w:panose1 w:val="020B0604020202090204"/>
    <w:charset w:val="01"/>
    <w:family w:val="swiss"/>
    <w:pitch w:val="variable"/>
    <w:sig w:usb0="E0000AFF" w:usb1="00007843" w:usb2="00000001" w:usb3="00000000" w:csb0="400001BF" w:csb1="DFF70000"/>
  </w:font>
  <w:font w:name="Calibri">
    <w:altName w:val="Helvetica Neue"/>
    <w:panose1 w:val="020F0502020204030204"/>
    <w:charset w:val="00"/>
    <w:family w:val="swiss"/>
    <w:pitch w:val="variable"/>
    <w:sig w:usb0="00000000" w:usb1="00000000" w:usb2="00000001" w:usb3="00000000" w:csb0="0000019F" w:csb1="0000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A3AD124"/>
    <w:multiLevelType w:val="singleLevel"/>
    <w:tmpl w:val="FA3AD124"/>
    <w:lvl w:ilvl="0">
      <w:start w:val="0"/>
      <w:numFmt w:val="bullet"/>
      <w:lvlRestart w:val="0"/>
      <w:lvlText w:val="•"/>
      <w:lvlJc w:val="left"/>
      <w:pPr/>
      <w:rPr>
        <w:color w:val="3370FF"/>
      </w:rPr>
    </w:lvl>
  </w:abstractNum>
  <w:abstractNum w:abstractNumId="1">
    <w:nsid w:val="2FF86803"/>
    <w:multiLevelType w:val="singleLevel"/>
    <w:tmpl w:val="2FF86803"/>
    <w:lvl w:ilvl="0">
      <w:start w:val="0"/>
      <w:numFmt w:val="bullet"/>
      <w:lvlRestart w:val="0"/>
      <w:lvlText w:val="•"/>
      <w:lvlJc w:val="left"/>
      <w:pPr/>
      <w:rPr>
        <w:color w:val="3370FF"/>
      </w:rPr>
    </w:lvl>
  </w:abstractNum>
  <w:abstractNum w:abstractNumId="2">
    <w:nsid w:val="BEFF746A"/>
    <w:multiLevelType w:val="singleLevel"/>
    <w:tmpl w:val="BEFF746A"/>
    <w:lvl w:ilvl="0">
      <w:start w:val="0"/>
      <w:numFmt w:val="bullet"/>
      <w:lvlRestart w:val="0"/>
      <w:lvlText w:val="•"/>
      <w:lvlJc w:val="left"/>
      <w:pPr/>
      <w:rPr>
        <w:color w:val="3370FF"/>
      </w:rPr>
    </w:lvl>
  </w:abstractNum>
  <w:abstractNum w:abstractNumId="3">
    <w:nsid w:val="F6A7A873"/>
    <w:multiLevelType w:val="singleLevel"/>
    <w:tmpl w:val="F6A7A873"/>
    <w:lvl w:ilvl="0">
      <w:start w:val="0"/>
      <w:numFmt w:val="bullet"/>
      <w:lvlRestart w:val="0"/>
      <w:lvlText w:val="•"/>
      <w:lvlJc w:val="left"/>
      <w:pPr/>
      <w:rPr>
        <w:color w:val="3370FF"/>
      </w:rPr>
    </w:lvl>
  </w:abstractNum>
  <w:abstractNum w:abstractNumId="4">
    <w:nsid w:val="AFF640FB"/>
    <w:multiLevelType w:val="singleLevel"/>
    <w:tmpl w:val="AFF640FB"/>
    <w:lvl w:ilvl="0">
      <w:start w:val="0"/>
      <w:numFmt w:val="bullet"/>
      <w:lvlRestart w:val="0"/>
      <w:lvlText w:val="•"/>
      <w:lvlJc w:val="left"/>
      <w:pPr/>
      <w:rPr>
        <w:color w:val="3370FF"/>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efaultTabStop w:val="420"/>
  <w:drawingGridHorizontalSpacing w:val="105"/>
  <w:drawingGridVerticalSpacing w:val="156"/>
  <w:displayHorizontalDrawingGridEvery w:val="0"/>
  <w:displayVerticalDrawingGridEvery w:val="1"/>
  <w:compat>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Calibri" w:eastAsia="宋体" w:cs="Arial" w:hAnsi="Calibri"/>
      <w:sz w:val="21"/>
      <w:szCs w:val="22"/>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Calibri"/>
      <w:b/>
      <w:bCs/>
      <w:sz w:val="32"/>
      <w:szCs w:val="32"/>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sz w:val="32"/>
      <w:szCs w:val="32"/>
    </w:rPr>
  </w:style>
  <w:style w:type="character" w:default="1" w:styleId="10">
    <w:name w:val="Default Paragraph Font"/>
    <w:qForma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customXml" Target="../customXml/item1.xml"/><Relationship Id="rId8"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4630119E-E21C-430B-B425-BB5783BD023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18</TotalTime>
  <Application>WPS_Yozo_Office9.0.7173.101ZH</Application>
  <Pages>2</Pages>
  <Words>0</Words>
  <Characters>564</Characters>
  <Lines>0</Lines>
  <Paragraphs>18</Paragraphs>
  <CharactersWithSpaces>752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Apache POI</dc:creator>
  <cp:lastModifiedBy>Lenovo</cp:lastModifiedBy>
  <cp:revision>0</cp:revision>
  <dcterms:created xsi:type="dcterms:W3CDTF">2026-07-27T19:21:00Z</dcterms:created>
  <dcterms:modified xsi:type="dcterms:W3CDTF">2026-07-29T08:15:34Z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AIGC">
    <vt:lpwstr>{"Label":"1","ContentProducer":"001191110102MACQD9K64010000","ProduceID":"7667042819928165332","ReservedCode1":"","ContentPropagator":"","PropagateID":"","ReservedCode2":""}</vt:lpwstr>
  </property>
  <property fmtid="{D5CDD505-2E9C-101B-9397-08002B2CF9AE}" pid="3" name="KSOProductBuildVer">
    <vt:lpwstr>2052-12.1.24031.24031</vt:lpwstr>
  </property>
  <property fmtid="{D5CDD505-2E9C-101B-9397-08002B2CF9AE}" pid="4" name="ICV">
    <vt:lpwstr>2F1AB4DDC7ED3E8FAB01676A651D1C08_42</vt:lpwstr>
  </property>
</Properties>
</file>